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4946" w14:textId="77777777" w:rsidR="00D7526A" w:rsidRDefault="00D7526A">
      <w:pPr>
        <w:spacing w:after="600"/>
      </w:pPr>
    </w:p>
    <w:p w14:paraId="726DD380" w14:textId="77777777" w:rsidR="00D7526A" w:rsidRDefault="00000000">
      <w:pPr>
        <w:spacing w:after="60"/>
      </w:pPr>
      <w:r>
        <w:rPr>
          <w:rFonts w:cs="Arial"/>
          <w:b/>
          <w:bCs/>
          <w:color w:val="1F6EA4"/>
          <w:sz w:val="72"/>
          <w:szCs w:val="72"/>
        </w:rPr>
        <w:t>Program Catalog</w:t>
      </w:r>
    </w:p>
    <w:p w14:paraId="7A57C3DE" w14:textId="77777777" w:rsidR="00D7526A" w:rsidRDefault="00000000">
      <w:pPr>
        <w:spacing w:after="40"/>
      </w:pPr>
      <w:r>
        <w:rPr>
          <w:rFonts w:cs="Arial"/>
          <w:color w:val="B81623"/>
          <w:sz w:val="36"/>
          <w:szCs w:val="36"/>
        </w:rPr>
        <w:t>2025 Edition</w:t>
      </w:r>
    </w:p>
    <w:p w14:paraId="14020AEC" w14:textId="77777777" w:rsidR="00D7526A" w:rsidRDefault="00D7526A">
      <w:pPr>
        <w:spacing w:after="120"/>
      </w:pP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54499C56" w14:textId="77777777">
        <w:tc>
          <w:tcPr>
            <w:tcW w:w="100" w:type="dxa"/>
            <w:shd w:val="solid" w:color="1F6EA4" w:fill="auto"/>
            <w:tcMar>
              <w:top w:w="200" w:type="dxa"/>
              <w:left w:w="240" w:type="dxa"/>
              <w:bottom w:w="200" w:type="dxa"/>
              <w:right w:w="240" w:type="dxa"/>
            </w:tcMar>
          </w:tcPr>
          <w:p w14:paraId="2D69A92C" w14:textId="77777777" w:rsidR="00D7526A" w:rsidRDefault="00000000">
            <w:pPr>
              <w:spacing w:after="80"/>
            </w:pPr>
            <w:r>
              <w:rPr>
                <w:rFonts w:cs="Arial"/>
                <w:b/>
                <w:bCs/>
                <w:color w:val="FFFFFF"/>
                <w:sz w:val="28"/>
                <w:szCs w:val="28"/>
              </w:rPr>
              <w:t>Helix Opportunity Institute</w:t>
            </w:r>
          </w:p>
          <w:p w14:paraId="498BC19E" w14:textId="77777777" w:rsidR="00D7526A" w:rsidRDefault="00000000">
            <w:pPr>
              <w:spacing w:after="80"/>
            </w:pPr>
            <w:r>
              <w:rPr>
                <w:rFonts w:cs="Arial"/>
                <w:color w:val="FFFFFF"/>
                <w:sz w:val="20"/>
                <w:szCs w:val="20"/>
              </w:rPr>
              <w:t>833 Market Street, Suite 423  •  San Francisco, CA 94103</w:t>
            </w:r>
          </w:p>
          <w:p w14:paraId="118FB2ED" w14:textId="77777777" w:rsidR="00D7526A" w:rsidRDefault="00000000">
            <w:pPr>
              <w:spacing w:after="80"/>
            </w:pPr>
            <w:r>
              <w:rPr>
                <w:rFonts w:cs="Arial"/>
                <w:color w:val="FFFFFF"/>
                <w:sz w:val="20"/>
                <w:szCs w:val="20"/>
              </w:rPr>
              <w:t xml:space="preserve">Phone: (415) 882-6034  •  </w:t>
            </w:r>
            <w:proofErr w:type="spellStart"/>
            <w:r>
              <w:rPr>
                <w:rFonts w:cs="Arial"/>
                <w:color w:val="FFFFFF"/>
                <w:sz w:val="20"/>
                <w:szCs w:val="20"/>
              </w:rPr>
              <w:t>helixopp.institute</w:t>
            </w:r>
            <w:proofErr w:type="spellEnd"/>
          </w:p>
          <w:p w14:paraId="50CFF07C" w14:textId="77777777" w:rsidR="00D7526A" w:rsidRDefault="00000000">
            <w:r>
              <w:rPr>
                <w:rFonts w:cs="Arial"/>
                <w:color w:val="FFFFFF"/>
                <w:sz w:val="20"/>
                <w:szCs w:val="20"/>
              </w:rPr>
              <w:t>Catalog Period: January 1 – December 31, 2025</w:t>
            </w:r>
          </w:p>
        </w:tc>
      </w:tr>
    </w:tbl>
    <w:p w14:paraId="26FF8089" w14:textId="77777777" w:rsidR="00D7526A" w:rsidRDefault="00D7526A">
      <w:pPr>
        <w:spacing w:after="200"/>
      </w:pPr>
    </w:p>
    <w:p w14:paraId="32F2D3D3" w14:textId="77777777" w:rsidR="00D7526A" w:rsidRDefault="00000000">
      <w:pPr>
        <w:spacing w:after="80"/>
      </w:pPr>
      <w:r>
        <w:rPr>
          <w:noProof/>
        </w:rPr>
        <w:drawing>
          <wp:inline distT="0" distB="0" distL="0" distR="0" wp14:anchorId="7CA03629" wp14:editId="294AADAB">
            <wp:extent cx="2095500" cy="428625"/>
            <wp:effectExtent l="0" t="0" r="0" b="0"/>
            <wp:docPr id="1" name="BPPE logo" descr="BPPE logo: Bureau for Private Postsecondary Education, Department of Consumer Affairs" title="Bureau for Private Postsecondary Education — Department of Consumer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428625"/>
                    </a:xfrm>
                    <a:prstGeom prst="rect">
                      <a:avLst/>
                    </a:prstGeom>
                  </pic:spPr>
                </pic:pic>
              </a:graphicData>
            </a:graphic>
          </wp:inline>
        </w:drawing>
      </w:r>
    </w:p>
    <w:p w14:paraId="7A129C34" w14:textId="77777777" w:rsidR="00F115C5" w:rsidRDefault="00F115C5">
      <w:pPr>
        <w:spacing w:after="80"/>
      </w:pPr>
    </w:p>
    <w:p w14:paraId="7E470AF7" w14:textId="77777777" w:rsidR="00F115C5" w:rsidRDefault="00F115C5">
      <w:pPr>
        <w:spacing w:after="80"/>
      </w:pPr>
    </w:p>
    <w:p w14:paraId="28B50724" w14:textId="77777777" w:rsidR="00D7526A" w:rsidRDefault="00000000">
      <w:pPr>
        <w:spacing w:after="80"/>
        <w:rPr>
          <w:rFonts w:cs="Arial"/>
          <w:b/>
          <w:bCs/>
          <w:color w:val="B81623"/>
          <w:sz w:val="20"/>
          <w:szCs w:val="20"/>
        </w:rPr>
      </w:pPr>
      <w:r>
        <w:rPr>
          <w:rFonts w:cs="Arial"/>
          <w:b/>
          <w:bCs/>
          <w:color w:val="B81623"/>
          <w:sz w:val="20"/>
          <w:szCs w:val="20"/>
        </w:rPr>
        <w:t>BPPE Approved Institution</w:t>
      </w:r>
    </w:p>
    <w:p w14:paraId="78D0DE27" w14:textId="77777777" w:rsidR="00F115C5" w:rsidRDefault="00F115C5">
      <w:pPr>
        <w:spacing w:after="80"/>
      </w:pPr>
    </w:p>
    <w:p w14:paraId="43DFC07A" w14:textId="77777777" w:rsidR="00D7526A" w:rsidRDefault="00000000">
      <w:pPr>
        <w:spacing w:after="120" w:line="276" w:lineRule="auto"/>
      </w:pPr>
      <w:r>
        <w:rPr>
          <w:rFonts w:cs="Arial"/>
          <w:color w:val="444444"/>
        </w:rPr>
        <w:t>Helix Opportunity Institute is approved to operate by the Bureau for Private Postsecondary Education (BPPE) in compliance with the California Private Postsecondary Education Act of 2009. Questions may be directed to BPPE at (888) 370-7589 or www.bppe.ca.gov.</w:t>
      </w:r>
    </w:p>
    <w:p w14:paraId="79E7DE56" w14:textId="77777777" w:rsidR="00D7526A" w:rsidRDefault="00D7526A">
      <w:pPr>
        <w:sectPr w:rsidR="00D7526A">
          <w:headerReference w:type="default" r:id="rId8"/>
          <w:footerReference w:type="default" r:id="rId9"/>
          <w:pgSz w:w="12240" w:h="15840"/>
          <w:pgMar w:top="1200" w:right="1440" w:bottom="1440" w:left="1440" w:header="720" w:footer="720" w:gutter="0"/>
          <w:cols w:space="720"/>
          <w:docGrid w:linePitch="360"/>
        </w:sectPr>
      </w:pPr>
    </w:p>
    <w:p w14:paraId="4F497729" w14:textId="77777777" w:rsidR="00D7526A" w:rsidRDefault="00000000">
      <w:pPr>
        <w:pStyle w:val="Heading1"/>
        <w:pBdr>
          <w:bottom w:val="single" w:sz="6" w:space="4" w:color="1F6EA4"/>
        </w:pBdr>
      </w:pPr>
      <w:r>
        <w:lastRenderedPageBreak/>
        <w:t>About Helix Opportunity Institute</w:t>
      </w:r>
    </w:p>
    <w:p w14:paraId="506D4BB7" w14:textId="77777777" w:rsidR="00D7526A" w:rsidRDefault="00000000">
      <w:pPr>
        <w:spacing w:after="120" w:line="276" w:lineRule="auto"/>
      </w:pPr>
      <w:r>
        <w:rPr>
          <w:rFonts w:cs="Arial"/>
          <w:color w:val="444444"/>
        </w:rPr>
        <w:t>Helix Opportunity Institute is a licensed private postsecondary institution specializing in digital accessibility, inclusive design, and workforce development. Our programs prepare students for careers that unlock the power of human inclusion in science, technology, engineering, art, and math (STEAM) fields.</w:t>
      </w:r>
    </w:p>
    <w:p w14:paraId="0BFE93EF" w14:textId="77777777" w:rsidR="00D7526A" w:rsidRDefault="00000000">
      <w:pPr>
        <w:spacing w:after="120" w:line="276" w:lineRule="auto"/>
      </w:pPr>
      <w:r>
        <w:rPr>
          <w:rFonts w:cs="Arial"/>
          <w:color w:val="444444"/>
        </w:rPr>
        <w:t xml:space="preserve">All programs are delivered online through our instructor-led, accessible Learning Management System at </w:t>
      </w:r>
      <w:proofErr w:type="spellStart"/>
      <w:r>
        <w:rPr>
          <w:rFonts w:cs="Arial"/>
          <w:color w:val="444444"/>
        </w:rPr>
        <w:t>helixopp.institute</w:t>
      </w:r>
      <w:proofErr w:type="spellEnd"/>
      <w:r>
        <w:rPr>
          <w:rFonts w:cs="Arial"/>
          <w:color w:val="444444"/>
        </w:rPr>
        <w:t>.</w:t>
      </w:r>
    </w:p>
    <w:p w14:paraId="407DF33E" w14:textId="77777777" w:rsidR="00D7526A" w:rsidRDefault="00000000">
      <w:pPr>
        <w:pStyle w:val="Heading2"/>
        <w:spacing w:before="220"/>
      </w:pPr>
      <w:r>
        <w:t>Mission</w:t>
      </w: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2804FDBE" w14:textId="77777777">
        <w:tc>
          <w:tcPr>
            <w:tcW w:w="100" w:type="dxa"/>
            <w:shd w:val="solid" w:color="EBF3FA" w:fill="auto"/>
            <w:tcMar>
              <w:top w:w="140" w:type="dxa"/>
              <w:left w:w="200" w:type="dxa"/>
              <w:bottom w:w="140" w:type="dxa"/>
              <w:right w:w="200" w:type="dxa"/>
            </w:tcMar>
          </w:tcPr>
          <w:p w14:paraId="3AE96CF0" w14:textId="77777777" w:rsidR="00D7526A" w:rsidRDefault="00000000">
            <w:pPr>
              <w:spacing w:after="80"/>
            </w:pPr>
            <w:r>
              <w:rPr>
                <w:rFonts w:cs="Arial"/>
                <w:i/>
                <w:iCs/>
                <w:color w:val="444444"/>
              </w:rPr>
              <w:t>To provide high-quality education in STEAM fields that unlocks the power of human inclusion — equipping students with the knowledge, skills, and abilities to obtain employment as professionals.</w:t>
            </w:r>
          </w:p>
        </w:tc>
      </w:tr>
    </w:tbl>
    <w:p w14:paraId="62873198" w14:textId="77777777" w:rsidR="00D7526A" w:rsidRDefault="00D7526A">
      <w:pPr>
        <w:spacing w:after="80"/>
      </w:pPr>
    </w:p>
    <w:p w14:paraId="778690AC" w14:textId="77777777" w:rsidR="00D7526A" w:rsidRDefault="00000000">
      <w:pPr>
        <w:pStyle w:val="Heading1"/>
        <w:pBdr>
          <w:bottom w:val="single" w:sz="6" w:space="4" w:color="1F6EA4"/>
        </w:pBdr>
      </w:pPr>
      <w:r>
        <w:t>Programs 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20"/>
        <w:gridCol w:w="2830"/>
      </w:tblGrid>
      <w:tr w:rsidR="00D7526A" w14:paraId="0FDED793" w14:textId="77777777">
        <w:trPr>
          <w:tblHeader/>
        </w:trPr>
        <w:tc>
          <w:tcPr>
            <w:tcW w:w="5300" w:type="dxa"/>
            <w:shd w:val="solid" w:color="1F6EA4" w:fill="auto"/>
            <w:tcMar>
              <w:top w:w="100" w:type="dxa"/>
              <w:left w:w="120" w:type="dxa"/>
              <w:bottom w:w="100" w:type="dxa"/>
              <w:right w:w="120" w:type="dxa"/>
            </w:tcMar>
          </w:tcPr>
          <w:p w14:paraId="00690B60" w14:textId="77777777" w:rsidR="00D7526A" w:rsidRDefault="00000000">
            <w:pPr>
              <w:jc w:val="center"/>
            </w:pPr>
            <w:r>
              <w:rPr>
                <w:rFonts w:cs="Arial"/>
                <w:b/>
                <w:bCs/>
                <w:color w:val="FFFFFF"/>
                <w:sz w:val="20"/>
                <w:szCs w:val="20"/>
              </w:rPr>
              <w:t>Program</w:t>
            </w:r>
          </w:p>
        </w:tc>
        <w:tc>
          <w:tcPr>
            <w:tcW w:w="2300" w:type="dxa"/>
            <w:shd w:val="solid" w:color="1F6EA4" w:fill="auto"/>
            <w:tcMar>
              <w:top w:w="100" w:type="dxa"/>
              <w:left w:w="120" w:type="dxa"/>
              <w:bottom w:w="100" w:type="dxa"/>
              <w:right w:w="120" w:type="dxa"/>
            </w:tcMar>
          </w:tcPr>
          <w:p w14:paraId="58E62323" w14:textId="77777777" w:rsidR="00D7526A" w:rsidRDefault="00000000">
            <w:pPr>
              <w:jc w:val="center"/>
            </w:pPr>
            <w:r>
              <w:rPr>
                <w:rFonts w:cs="Arial"/>
                <w:b/>
                <w:bCs/>
                <w:color w:val="FFFFFF"/>
                <w:sz w:val="20"/>
                <w:szCs w:val="20"/>
              </w:rPr>
              <w:t>Tuition</w:t>
            </w:r>
          </w:p>
        </w:tc>
      </w:tr>
      <w:tr w:rsidR="00D7526A" w14:paraId="076D2A15" w14:textId="77777777">
        <w:tc>
          <w:tcPr>
            <w:tcW w:w="5300" w:type="dxa"/>
            <w:shd w:val="solid" w:color="FFFFFF" w:fill="auto"/>
            <w:tcMar>
              <w:top w:w="80" w:type="dxa"/>
              <w:left w:w="120" w:type="dxa"/>
              <w:bottom w:w="80" w:type="dxa"/>
              <w:right w:w="120" w:type="dxa"/>
            </w:tcMar>
          </w:tcPr>
          <w:p w14:paraId="7300ECCE" w14:textId="77777777" w:rsidR="00D7526A" w:rsidRDefault="00000000">
            <w:r>
              <w:rPr>
                <w:rFonts w:cs="Arial"/>
                <w:b/>
                <w:bCs/>
                <w:sz w:val="20"/>
                <w:szCs w:val="20"/>
              </w:rPr>
              <w:t>Digital Accessibility Specialist</w:t>
            </w:r>
          </w:p>
        </w:tc>
        <w:tc>
          <w:tcPr>
            <w:tcW w:w="2300" w:type="dxa"/>
            <w:shd w:val="solid" w:color="FFFFFF" w:fill="auto"/>
            <w:tcMar>
              <w:top w:w="80" w:type="dxa"/>
              <w:left w:w="120" w:type="dxa"/>
              <w:bottom w:w="80" w:type="dxa"/>
              <w:right w:w="120" w:type="dxa"/>
            </w:tcMar>
          </w:tcPr>
          <w:p w14:paraId="058982D7" w14:textId="77777777" w:rsidR="00D7526A" w:rsidRDefault="00000000">
            <w:pPr>
              <w:jc w:val="right"/>
            </w:pPr>
            <w:r>
              <w:rPr>
                <w:rFonts w:cs="Arial"/>
                <w:sz w:val="20"/>
                <w:szCs w:val="20"/>
              </w:rPr>
              <w:t>$10,800</w:t>
            </w:r>
          </w:p>
        </w:tc>
      </w:tr>
      <w:tr w:rsidR="00D7526A" w14:paraId="7C5D2BAD" w14:textId="77777777">
        <w:tc>
          <w:tcPr>
            <w:tcW w:w="5300" w:type="dxa"/>
            <w:shd w:val="solid" w:color="F0F7FD" w:fill="auto"/>
            <w:tcMar>
              <w:top w:w="80" w:type="dxa"/>
              <w:left w:w="120" w:type="dxa"/>
              <w:bottom w:w="80" w:type="dxa"/>
              <w:right w:w="120" w:type="dxa"/>
            </w:tcMar>
          </w:tcPr>
          <w:p w14:paraId="01F40F0C" w14:textId="77777777" w:rsidR="00D7526A" w:rsidRDefault="00000000">
            <w:r>
              <w:rPr>
                <w:rFonts w:cs="Arial"/>
                <w:b/>
                <w:bCs/>
                <w:sz w:val="20"/>
                <w:szCs w:val="20"/>
              </w:rPr>
              <w:t>Digital Accessibility Developer</w:t>
            </w:r>
          </w:p>
        </w:tc>
        <w:tc>
          <w:tcPr>
            <w:tcW w:w="2300" w:type="dxa"/>
            <w:shd w:val="solid" w:color="F0F7FD" w:fill="auto"/>
            <w:tcMar>
              <w:top w:w="80" w:type="dxa"/>
              <w:left w:w="120" w:type="dxa"/>
              <w:bottom w:w="80" w:type="dxa"/>
              <w:right w:w="120" w:type="dxa"/>
            </w:tcMar>
          </w:tcPr>
          <w:p w14:paraId="0AF1E14E" w14:textId="77777777" w:rsidR="00D7526A" w:rsidRDefault="00000000">
            <w:pPr>
              <w:jc w:val="right"/>
            </w:pPr>
            <w:r>
              <w:rPr>
                <w:rFonts w:cs="Arial"/>
                <w:sz w:val="20"/>
                <w:szCs w:val="20"/>
              </w:rPr>
              <w:t>$18,150</w:t>
            </w:r>
          </w:p>
        </w:tc>
      </w:tr>
      <w:tr w:rsidR="00D7526A" w14:paraId="5FF1E84F" w14:textId="77777777">
        <w:tc>
          <w:tcPr>
            <w:tcW w:w="5300" w:type="dxa"/>
            <w:shd w:val="solid" w:color="FFFFFF" w:fill="auto"/>
            <w:tcMar>
              <w:top w:w="80" w:type="dxa"/>
              <w:left w:w="120" w:type="dxa"/>
              <w:bottom w:w="80" w:type="dxa"/>
              <w:right w:w="120" w:type="dxa"/>
            </w:tcMar>
          </w:tcPr>
          <w:p w14:paraId="1D61817A" w14:textId="77777777" w:rsidR="00D7526A" w:rsidRDefault="00000000">
            <w:r>
              <w:rPr>
                <w:rFonts w:cs="Arial"/>
                <w:b/>
                <w:bCs/>
                <w:sz w:val="20"/>
                <w:szCs w:val="20"/>
              </w:rPr>
              <w:t>Disability Inclusion Specialist</w:t>
            </w:r>
          </w:p>
        </w:tc>
        <w:tc>
          <w:tcPr>
            <w:tcW w:w="2300" w:type="dxa"/>
            <w:shd w:val="solid" w:color="FFFFFF" w:fill="auto"/>
            <w:tcMar>
              <w:top w:w="80" w:type="dxa"/>
              <w:left w:w="120" w:type="dxa"/>
              <w:bottom w:w="80" w:type="dxa"/>
              <w:right w:w="120" w:type="dxa"/>
            </w:tcMar>
          </w:tcPr>
          <w:p w14:paraId="40B0F69E" w14:textId="77777777" w:rsidR="00D7526A" w:rsidRDefault="00000000">
            <w:pPr>
              <w:jc w:val="right"/>
            </w:pPr>
            <w:r>
              <w:rPr>
                <w:rFonts w:cs="Arial"/>
                <w:sz w:val="20"/>
                <w:szCs w:val="20"/>
              </w:rPr>
              <w:t>$7,500</w:t>
            </w:r>
          </w:p>
        </w:tc>
      </w:tr>
      <w:tr w:rsidR="00D7526A" w14:paraId="057E361C" w14:textId="77777777">
        <w:tc>
          <w:tcPr>
            <w:tcW w:w="5300" w:type="dxa"/>
            <w:shd w:val="solid" w:color="F0F7FD" w:fill="auto"/>
            <w:tcMar>
              <w:top w:w="80" w:type="dxa"/>
              <w:left w:w="120" w:type="dxa"/>
              <w:bottom w:w="80" w:type="dxa"/>
              <w:right w:w="120" w:type="dxa"/>
            </w:tcMar>
          </w:tcPr>
          <w:p w14:paraId="5E6A0187" w14:textId="77777777" w:rsidR="00D7526A" w:rsidRDefault="00000000">
            <w:r>
              <w:rPr>
                <w:rFonts w:cs="Arial"/>
                <w:b/>
                <w:bCs/>
                <w:sz w:val="20"/>
                <w:szCs w:val="20"/>
              </w:rPr>
              <w:t>Web Accessibility Specialist</w:t>
            </w:r>
          </w:p>
        </w:tc>
        <w:tc>
          <w:tcPr>
            <w:tcW w:w="2300" w:type="dxa"/>
            <w:shd w:val="solid" w:color="F0F7FD" w:fill="auto"/>
            <w:tcMar>
              <w:top w:w="80" w:type="dxa"/>
              <w:left w:w="120" w:type="dxa"/>
              <w:bottom w:w="80" w:type="dxa"/>
              <w:right w:w="120" w:type="dxa"/>
            </w:tcMar>
          </w:tcPr>
          <w:p w14:paraId="23C9884A" w14:textId="77777777" w:rsidR="00D7526A" w:rsidRDefault="00000000">
            <w:pPr>
              <w:jc w:val="right"/>
            </w:pPr>
            <w:r>
              <w:rPr>
                <w:rFonts w:cs="Arial"/>
                <w:sz w:val="20"/>
                <w:szCs w:val="20"/>
              </w:rPr>
              <w:t>$7,500</w:t>
            </w:r>
          </w:p>
        </w:tc>
      </w:tr>
      <w:tr w:rsidR="00D7526A" w14:paraId="7FB7C188" w14:textId="77777777">
        <w:tc>
          <w:tcPr>
            <w:tcW w:w="5300" w:type="dxa"/>
            <w:shd w:val="solid" w:color="FFFFFF" w:fill="auto"/>
            <w:tcMar>
              <w:top w:w="80" w:type="dxa"/>
              <w:left w:w="120" w:type="dxa"/>
              <w:bottom w:w="80" w:type="dxa"/>
              <w:right w:w="120" w:type="dxa"/>
            </w:tcMar>
          </w:tcPr>
          <w:p w14:paraId="55EE7EA0" w14:textId="77777777" w:rsidR="00D7526A" w:rsidRDefault="00000000">
            <w:r>
              <w:rPr>
                <w:rFonts w:cs="Arial"/>
                <w:b/>
                <w:bCs/>
                <w:sz w:val="20"/>
                <w:szCs w:val="20"/>
              </w:rPr>
              <w:t>Accessibility Core Competencies</w:t>
            </w:r>
          </w:p>
        </w:tc>
        <w:tc>
          <w:tcPr>
            <w:tcW w:w="2300" w:type="dxa"/>
            <w:shd w:val="solid" w:color="FFFFFF" w:fill="auto"/>
            <w:tcMar>
              <w:top w:w="80" w:type="dxa"/>
              <w:left w:w="120" w:type="dxa"/>
              <w:bottom w:w="80" w:type="dxa"/>
              <w:right w:w="120" w:type="dxa"/>
            </w:tcMar>
          </w:tcPr>
          <w:p w14:paraId="397CB1A4" w14:textId="77777777" w:rsidR="00D7526A" w:rsidRDefault="00000000">
            <w:pPr>
              <w:jc w:val="right"/>
            </w:pPr>
            <w:r>
              <w:rPr>
                <w:rFonts w:cs="Arial"/>
                <w:sz w:val="20"/>
                <w:szCs w:val="20"/>
              </w:rPr>
              <w:t>$7,500</w:t>
            </w:r>
          </w:p>
        </w:tc>
      </w:tr>
    </w:tbl>
    <w:p w14:paraId="47888042" w14:textId="77777777" w:rsidR="00D7526A" w:rsidRDefault="00D7526A">
      <w:pPr>
        <w:spacing w:after="100"/>
      </w:pPr>
    </w:p>
    <w:p w14:paraId="5AAD3592" w14:textId="77777777" w:rsidR="00D7526A" w:rsidRDefault="00000000">
      <w:pPr>
        <w:spacing w:after="120" w:line="276" w:lineRule="auto"/>
      </w:pPr>
      <w:r>
        <w:rPr>
          <w:rFonts w:cs="Arial"/>
          <w:color w:val="444444"/>
        </w:rPr>
        <w:t>Tuition includes membership in the International Association of Accessibility Professionals (IAAP) and associated certification exams. No registration fees, book fees, or materials fees.</w:t>
      </w:r>
    </w:p>
    <w:p w14:paraId="41ED1AD3" w14:textId="77777777" w:rsidR="00D7526A" w:rsidRDefault="00000000">
      <w:r>
        <w:br w:type="page"/>
      </w:r>
    </w:p>
    <w:p w14:paraId="402AE300" w14:textId="77777777" w:rsidR="00D7526A" w:rsidRDefault="00000000">
      <w:pPr>
        <w:pStyle w:val="Heading1"/>
        <w:pBdr>
          <w:bottom w:val="single" w:sz="6" w:space="4" w:color="1F6EA4"/>
        </w:pBdr>
      </w:pPr>
      <w:r>
        <w:lastRenderedPageBreak/>
        <w:t>Digital Accessibility Specialist</w:t>
      </w: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75E5561B" w14:textId="77777777">
        <w:tc>
          <w:tcPr>
            <w:tcW w:w="100" w:type="dxa"/>
            <w:shd w:val="solid" w:color="EBF3FA" w:fill="auto"/>
            <w:tcMar>
              <w:top w:w="140" w:type="dxa"/>
              <w:left w:w="200" w:type="dxa"/>
              <w:bottom w:w="140" w:type="dxa"/>
              <w:right w:w="200" w:type="dxa"/>
            </w:tcMar>
          </w:tcPr>
          <w:p w14:paraId="48534261" w14:textId="77777777" w:rsidR="00D7526A" w:rsidRDefault="00000000">
            <w:pPr>
              <w:spacing w:after="80"/>
            </w:pPr>
            <w:r>
              <w:rPr>
                <w:rFonts w:cs="Arial"/>
                <w:b/>
                <w:bCs/>
                <w:color w:val="1F6EA4"/>
              </w:rPr>
              <w:t xml:space="preserve">Duration:  </w:t>
            </w:r>
            <w:r>
              <w:rPr>
                <w:rFonts w:cs="Arial"/>
                <w:color w:val="444444"/>
              </w:rPr>
              <w:t>144 clock hours  •  6 weeks</w:t>
            </w:r>
          </w:p>
          <w:p w14:paraId="3D2652BD" w14:textId="77777777" w:rsidR="00D7526A" w:rsidRDefault="00000000">
            <w:pPr>
              <w:spacing w:after="80"/>
            </w:pPr>
            <w:r>
              <w:rPr>
                <w:rFonts w:cs="Arial"/>
                <w:b/>
                <w:bCs/>
                <w:color w:val="1F6EA4"/>
              </w:rPr>
              <w:t xml:space="preserve">Schedule:  </w:t>
            </w:r>
            <w:r>
              <w:rPr>
                <w:rFonts w:cs="Arial"/>
                <w:color w:val="444444"/>
              </w:rPr>
              <w:t>Mon–Fri, 9:00 AM – 1:00 PM  |  New cohort every 12 weeks</w:t>
            </w:r>
          </w:p>
          <w:p w14:paraId="0240EBCA" w14:textId="77777777" w:rsidR="00D7526A" w:rsidRDefault="00000000">
            <w:pPr>
              <w:spacing w:after="80"/>
            </w:pPr>
            <w:r>
              <w:rPr>
                <w:rFonts w:cs="Arial"/>
                <w:b/>
                <w:bCs/>
                <w:color w:val="1F6EA4"/>
              </w:rPr>
              <w:t xml:space="preserve">Format:  </w:t>
            </w:r>
            <w:r>
              <w:rPr>
                <w:rFonts w:cs="Arial"/>
                <w:color w:val="444444"/>
              </w:rPr>
              <w:t>Instructor-led, virtual (online)</w:t>
            </w:r>
          </w:p>
          <w:p w14:paraId="0FA250AB" w14:textId="77777777" w:rsidR="00D7526A" w:rsidRDefault="00000000">
            <w:pPr>
              <w:spacing w:after="80"/>
            </w:pPr>
            <w:r>
              <w:rPr>
                <w:rFonts w:cs="Arial"/>
                <w:b/>
                <w:bCs/>
                <w:color w:val="1F6EA4"/>
              </w:rPr>
              <w:t xml:space="preserve">Tuition:  </w:t>
            </w:r>
            <w:r>
              <w:rPr>
                <w:rFonts w:cs="Arial"/>
                <w:color w:val="444444"/>
              </w:rPr>
              <w:t>$10,800  (includes IAAP membership &amp; CPACC exam)</w:t>
            </w:r>
          </w:p>
          <w:p w14:paraId="60FD7102" w14:textId="77777777" w:rsidR="00D7526A" w:rsidRDefault="00000000">
            <w:pPr>
              <w:spacing w:after="80"/>
            </w:pPr>
            <w:r>
              <w:rPr>
                <w:rFonts w:cs="Arial"/>
                <w:b/>
                <w:bCs/>
                <w:color w:val="1F6EA4"/>
              </w:rPr>
              <w:t xml:space="preserve">Prerequisites:  </w:t>
            </w:r>
            <w:r>
              <w:rPr>
                <w:rFonts w:cs="Arial"/>
                <w:color w:val="444444"/>
              </w:rPr>
              <w:t>Basic computer literacy and internet usage</w:t>
            </w:r>
          </w:p>
        </w:tc>
      </w:tr>
    </w:tbl>
    <w:p w14:paraId="7A2537BA" w14:textId="77777777" w:rsidR="00D7526A" w:rsidRDefault="00D7526A">
      <w:pPr>
        <w:spacing w:after="80"/>
      </w:pPr>
    </w:p>
    <w:p w14:paraId="00D7C665" w14:textId="77777777" w:rsidR="00D7526A" w:rsidRDefault="00000000">
      <w:pPr>
        <w:pStyle w:val="Heading2"/>
        <w:spacing w:before="220"/>
      </w:pPr>
      <w:r>
        <w:t>What You'll Learn</w:t>
      </w:r>
    </w:p>
    <w:p w14:paraId="70E2D2DA" w14:textId="77777777" w:rsidR="00D7526A" w:rsidRDefault="00000000">
      <w:pPr>
        <w:spacing w:after="120" w:line="276" w:lineRule="auto"/>
      </w:pPr>
      <w:r>
        <w:rPr>
          <w:rFonts w:cs="Arial"/>
          <w:color w:val="444444"/>
        </w:rPr>
        <w:t>Students learn to evaluate and remediate digital products for compliance with accessibility standards. Graduates are prepared for entry-level roles in Quality Assurance as Accessibility Testers, Accessibility Specialists, or Accessibility Analysts.</w:t>
      </w:r>
    </w:p>
    <w:p w14:paraId="48BFDDF2" w14:textId="77777777" w:rsidR="00D7526A" w:rsidRDefault="00000000">
      <w:pPr>
        <w:pStyle w:val="Heading2"/>
        <w:spacing w:before="220"/>
      </w:pPr>
      <w:r>
        <w:t>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7"/>
        <w:gridCol w:w="5659"/>
        <w:gridCol w:w="1107"/>
        <w:gridCol w:w="1107"/>
      </w:tblGrid>
      <w:tr w:rsidR="00D7526A" w14:paraId="5859AD6A" w14:textId="77777777">
        <w:trPr>
          <w:tblHeader/>
        </w:trPr>
        <w:tc>
          <w:tcPr>
            <w:tcW w:w="1200" w:type="dxa"/>
            <w:shd w:val="solid" w:color="1F6EA4" w:fill="auto"/>
            <w:tcMar>
              <w:top w:w="100" w:type="dxa"/>
              <w:left w:w="120" w:type="dxa"/>
              <w:bottom w:w="100" w:type="dxa"/>
              <w:right w:w="120" w:type="dxa"/>
            </w:tcMar>
          </w:tcPr>
          <w:p w14:paraId="03B26FC0" w14:textId="77777777" w:rsidR="00D7526A" w:rsidRDefault="00000000">
            <w:pPr>
              <w:jc w:val="center"/>
            </w:pPr>
            <w:r>
              <w:rPr>
                <w:rFonts w:cs="Arial"/>
                <w:b/>
                <w:bCs/>
                <w:color w:val="FFFFFF"/>
                <w:sz w:val="20"/>
                <w:szCs w:val="20"/>
              </w:rPr>
              <w:t>Code</w:t>
            </w:r>
          </w:p>
        </w:tc>
        <w:tc>
          <w:tcPr>
            <w:tcW w:w="4600" w:type="dxa"/>
            <w:shd w:val="solid" w:color="1F6EA4" w:fill="auto"/>
            <w:tcMar>
              <w:top w:w="100" w:type="dxa"/>
              <w:left w:w="120" w:type="dxa"/>
              <w:bottom w:w="100" w:type="dxa"/>
              <w:right w:w="120" w:type="dxa"/>
            </w:tcMar>
          </w:tcPr>
          <w:p w14:paraId="6F75BC43" w14:textId="77777777" w:rsidR="00D7526A" w:rsidRDefault="00000000">
            <w:pPr>
              <w:jc w:val="center"/>
            </w:pPr>
            <w:r>
              <w:rPr>
                <w:rFonts w:cs="Arial"/>
                <w:b/>
                <w:bCs/>
                <w:color w:val="FFFFFF"/>
                <w:sz w:val="20"/>
                <w:szCs w:val="20"/>
              </w:rPr>
              <w:t>Course</w:t>
            </w:r>
          </w:p>
        </w:tc>
        <w:tc>
          <w:tcPr>
            <w:tcW w:w="900" w:type="dxa"/>
            <w:shd w:val="solid" w:color="1F6EA4" w:fill="auto"/>
            <w:tcMar>
              <w:top w:w="100" w:type="dxa"/>
              <w:left w:w="120" w:type="dxa"/>
              <w:bottom w:w="100" w:type="dxa"/>
              <w:right w:w="120" w:type="dxa"/>
            </w:tcMar>
          </w:tcPr>
          <w:p w14:paraId="12C45A4B" w14:textId="77777777" w:rsidR="00D7526A" w:rsidRDefault="00000000">
            <w:pPr>
              <w:jc w:val="center"/>
            </w:pPr>
            <w:r>
              <w:rPr>
                <w:rFonts w:cs="Arial"/>
                <w:b/>
                <w:bCs/>
                <w:color w:val="FFFFFF"/>
                <w:sz w:val="20"/>
                <w:szCs w:val="20"/>
              </w:rPr>
              <w:t>Hours</w:t>
            </w:r>
          </w:p>
        </w:tc>
        <w:tc>
          <w:tcPr>
            <w:tcW w:w="900" w:type="dxa"/>
            <w:shd w:val="solid" w:color="1F6EA4" w:fill="auto"/>
            <w:tcMar>
              <w:top w:w="100" w:type="dxa"/>
              <w:left w:w="120" w:type="dxa"/>
              <w:bottom w:w="100" w:type="dxa"/>
              <w:right w:w="120" w:type="dxa"/>
            </w:tcMar>
          </w:tcPr>
          <w:p w14:paraId="11C89DC8" w14:textId="77777777" w:rsidR="00D7526A" w:rsidRDefault="00000000">
            <w:pPr>
              <w:jc w:val="center"/>
            </w:pPr>
            <w:r>
              <w:rPr>
                <w:rFonts w:cs="Arial"/>
                <w:b/>
                <w:bCs/>
                <w:color w:val="FFFFFF"/>
                <w:sz w:val="20"/>
                <w:szCs w:val="20"/>
              </w:rPr>
              <w:t>Weeks</w:t>
            </w:r>
          </w:p>
        </w:tc>
      </w:tr>
      <w:tr w:rsidR="00D7526A" w14:paraId="2764B21F" w14:textId="77777777">
        <w:tc>
          <w:tcPr>
            <w:tcW w:w="1200" w:type="dxa"/>
            <w:shd w:val="solid" w:color="FFFFFF" w:fill="auto"/>
            <w:tcMar>
              <w:top w:w="80" w:type="dxa"/>
              <w:left w:w="120" w:type="dxa"/>
              <w:bottom w:w="80" w:type="dxa"/>
              <w:right w:w="120" w:type="dxa"/>
            </w:tcMar>
          </w:tcPr>
          <w:p w14:paraId="035E9859" w14:textId="77777777" w:rsidR="00D7526A" w:rsidRDefault="00000000">
            <w:r>
              <w:rPr>
                <w:rFonts w:cs="Arial"/>
                <w:b/>
                <w:bCs/>
                <w:sz w:val="20"/>
                <w:szCs w:val="20"/>
              </w:rPr>
              <w:t>CU 1</w:t>
            </w:r>
          </w:p>
        </w:tc>
        <w:tc>
          <w:tcPr>
            <w:tcW w:w="4600" w:type="dxa"/>
            <w:shd w:val="solid" w:color="FFFFFF" w:fill="auto"/>
            <w:tcMar>
              <w:top w:w="80" w:type="dxa"/>
              <w:left w:w="120" w:type="dxa"/>
              <w:bottom w:w="80" w:type="dxa"/>
              <w:right w:w="120" w:type="dxa"/>
            </w:tcMar>
          </w:tcPr>
          <w:p w14:paraId="5F0743D4" w14:textId="77777777" w:rsidR="00D7526A" w:rsidRDefault="00000000">
            <w:r>
              <w:rPr>
                <w:rFonts w:cs="Arial"/>
                <w:sz w:val="20"/>
                <w:szCs w:val="20"/>
              </w:rPr>
              <w:t>Cooperative Understanding</w:t>
            </w:r>
          </w:p>
        </w:tc>
        <w:tc>
          <w:tcPr>
            <w:tcW w:w="900" w:type="dxa"/>
            <w:shd w:val="solid" w:color="FFFFFF" w:fill="auto"/>
            <w:tcMar>
              <w:top w:w="80" w:type="dxa"/>
              <w:left w:w="120" w:type="dxa"/>
              <w:bottom w:w="80" w:type="dxa"/>
              <w:right w:w="120" w:type="dxa"/>
            </w:tcMar>
          </w:tcPr>
          <w:p w14:paraId="34C21061" w14:textId="77777777" w:rsidR="00D7526A" w:rsidRDefault="00000000">
            <w:pPr>
              <w:jc w:val="center"/>
            </w:pPr>
            <w:r>
              <w:rPr>
                <w:rFonts w:cs="Arial"/>
                <w:sz w:val="20"/>
                <w:szCs w:val="20"/>
              </w:rPr>
              <w:t>12</w:t>
            </w:r>
          </w:p>
        </w:tc>
        <w:tc>
          <w:tcPr>
            <w:tcW w:w="900" w:type="dxa"/>
            <w:shd w:val="solid" w:color="FFFFFF" w:fill="auto"/>
            <w:tcMar>
              <w:top w:w="80" w:type="dxa"/>
              <w:left w:w="120" w:type="dxa"/>
              <w:bottom w:w="80" w:type="dxa"/>
              <w:right w:w="120" w:type="dxa"/>
            </w:tcMar>
          </w:tcPr>
          <w:p w14:paraId="13FB3674" w14:textId="77777777" w:rsidR="00D7526A" w:rsidRDefault="00000000">
            <w:pPr>
              <w:jc w:val="center"/>
            </w:pPr>
            <w:r>
              <w:rPr>
                <w:rFonts w:cs="Arial"/>
                <w:sz w:val="20"/>
                <w:szCs w:val="20"/>
              </w:rPr>
              <w:t>1</w:t>
            </w:r>
          </w:p>
        </w:tc>
      </w:tr>
      <w:tr w:rsidR="00D7526A" w14:paraId="54E50C39" w14:textId="77777777">
        <w:tc>
          <w:tcPr>
            <w:tcW w:w="1200" w:type="dxa"/>
            <w:shd w:val="solid" w:color="F0F7FD" w:fill="auto"/>
            <w:tcMar>
              <w:top w:w="80" w:type="dxa"/>
              <w:left w:w="120" w:type="dxa"/>
              <w:bottom w:w="80" w:type="dxa"/>
              <w:right w:w="120" w:type="dxa"/>
            </w:tcMar>
          </w:tcPr>
          <w:p w14:paraId="5D1208A8" w14:textId="77777777" w:rsidR="00D7526A" w:rsidRDefault="00000000">
            <w:r>
              <w:rPr>
                <w:rFonts w:cs="Arial"/>
                <w:b/>
                <w:bCs/>
                <w:sz w:val="20"/>
                <w:szCs w:val="20"/>
              </w:rPr>
              <w:t>DCAT 1</w:t>
            </w:r>
          </w:p>
        </w:tc>
        <w:tc>
          <w:tcPr>
            <w:tcW w:w="4600" w:type="dxa"/>
            <w:shd w:val="solid" w:color="F0F7FD" w:fill="auto"/>
            <w:tcMar>
              <w:top w:w="80" w:type="dxa"/>
              <w:left w:w="120" w:type="dxa"/>
              <w:bottom w:w="80" w:type="dxa"/>
              <w:right w:w="120" w:type="dxa"/>
            </w:tcMar>
          </w:tcPr>
          <w:p w14:paraId="17E2F41E" w14:textId="77777777" w:rsidR="00D7526A" w:rsidRDefault="00000000">
            <w:r>
              <w:rPr>
                <w:rFonts w:cs="Arial"/>
                <w:sz w:val="20"/>
                <w:szCs w:val="20"/>
              </w:rPr>
              <w:t>Disabilities, Challenges &amp; Assistive Tech</w:t>
            </w:r>
          </w:p>
        </w:tc>
        <w:tc>
          <w:tcPr>
            <w:tcW w:w="900" w:type="dxa"/>
            <w:shd w:val="solid" w:color="F0F7FD" w:fill="auto"/>
            <w:tcMar>
              <w:top w:w="80" w:type="dxa"/>
              <w:left w:w="120" w:type="dxa"/>
              <w:bottom w:w="80" w:type="dxa"/>
              <w:right w:w="120" w:type="dxa"/>
            </w:tcMar>
          </w:tcPr>
          <w:p w14:paraId="78BBE9A1" w14:textId="77777777" w:rsidR="00D7526A" w:rsidRDefault="00000000">
            <w:pPr>
              <w:jc w:val="center"/>
            </w:pPr>
            <w:r>
              <w:rPr>
                <w:rFonts w:cs="Arial"/>
                <w:sz w:val="20"/>
                <w:szCs w:val="20"/>
              </w:rPr>
              <w:t>30</w:t>
            </w:r>
          </w:p>
        </w:tc>
        <w:tc>
          <w:tcPr>
            <w:tcW w:w="900" w:type="dxa"/>
            <w:shd w:val="solid" w:color="F0F7FD" w:fill="auto"/>
            <w:tcMar>
              <w:top w:w="80" w:type="dxa"/>
              <w:left w:w="120" w:type="dxa"/>
              <w:bottom w:w="80" w:type="dxa"/>
              <w:right w:w="120" w:type="dxa"/>
            </w:tcMar>
          </w:tcPr>
          <w:p w14:paraId="5BFEB14F" w14:textId="77777777" w:rsidR="00D7526A" w:rsidRDefault="00000000">
            <w:pPr>
              <w:jc w:val="center"/>
            </w:pPr>
            <w:r>
              <w:rPr>
                <w:rFonts w:cs="Arial"/>
                <w:sz w:val="20"/>
                <w:szCs w:val="20"/>
              </w:rPr>
              <w:t>1</w:t>
            </w:r>
          </w:p>
        </w:tc>
      </w:tr>
      <w:tr w:rsidR="00D7526A" w14:paraId="59E9A950" w14:textId="77777777">
        <w:tc>
          <w:tcPr>
            <w:tcW w:w="1200" w:type="dxa"/>
            <w:shd w:val="solid" w:color="FFFFFF" w:fill="auto"/>
            <w:tcMar>
              <w:top w:w="80" w:type="dxa"/>
              <w:left w:w="120" w:type="dxa"/>
              <w:bottom w:w="80" w:type="dxa"/>
              <w:right w:w="120" w:type="dxa"/>
            </w:tcMar>
          </w:tcPr>
          <w:p w14:paraId="7212CF74" w14:textId="77777777" w:rsidR="00D7526A" w:rsidRDefault="00000000">
            <w:r>
              <w:rPr>
                <w:rFonts w:cs="Arial"/>
                <w:b/>
                <w:bCs/>
                <w:sz w:val="20"/>
                <w:szCs w:val="20"/>
              </w:rPr>
              <w:t>UD 1</w:t>
            </w:r>
          </w:p>
        </w:tc>
        <w:tc>
          <w:tcPr>
            <w:tcW w:w="4600" w:type="dxa"/>
            <w:shd w:val="solid" w:color="FFFFFF" w:fill="auto"/>
            <w:tcMar>
              <w:top w:w="80" w:type="dxa"/>
              <w:left w:w="120" w:type="dxa"/>
              <w:bottom w:w="80" w:type="dxa"/>
              <w:right w:w="120" w:type="dxa"/>
            </w:tcMar>
          </w:tcPr>
          <w:p w14:paraId="56AD92CB" w14:textId="77777777" w:rsidR="00D7526A" w:rsidRDefault="00000000">
            <w:r>
              <w:rPr>
                <w:rFonts w:cs="Arial"/>
                <w:sz w:val="20"/>
                <w:szCs w:val="20"/>
              </w:rPr>
              <w:t>Universal Design</w:t>
            </w:r>
          </w:p>
        </w:tc>
        <w:tc>
          <w:tcPr>
            <w:tcW w:w="900" w:type="dxa"/>
            <w:shd w:val="solid" w:color="FFFFFF" w:fill="auto"/>
            <w:tcMar>
              <w:top w:w="80" w:type="dxa"/>
              <w:left w:w="120" w:type="dxa"/>
              <w:bottom w:w="80" w:type="dxa"/>
              <w:right w:w="120" w:type="dxa"/>
            </w:tcMar>
          </w:tcPr>
          <w:p w14:paraId="5BE5671C" w14:textId="77777777" w:rsidR="00D7526A" w:rsidRDefault="00000000">
            <w:pPr>
              <w:jc w:val="center"/>
            </w:pPr>
            <w:r>
              <w:rPr>
                <w:rFonts w:cs="Arial"/>
                <w:sz w:val="20"/>
                <w:szCs w:val="20"/>
              </w:rPr>
              <w:t>32</w:t>
            </w:r>
          </w:p>
        </w:tc>
        <w:tc>
          <w:tcPr>
            <w:tcW w:w="900" w:type="dxa"/>
            <w:shd w:val="solid" w:color="FFFFFF" w:fill="auto"/>
            <w:tcMar>
              <w:top w:w="80" w:type="dxa"/>
              <w:left w:w="120" w:type="dxa"/>
              <w:bottom w:w="80" w:type="dxa"/>
              <w:right w:w="120" w:type="dxa"/>
            </w:tcMar>
          </w:tcPr>
          <w:p w14:paraId="0AB1968F" w14:textId="77777777" w:rsidR="00D7526A" w:rsidRDefault="00000000">
            <w:pPr>
              <w:jc w:val="center"/>
            </w:pPr>
            <w:r>
              <w:rPr>
                <w:rFonts w:cs="Arial"/>
                <w:sz w:val="20"/>
                <w:szCs w:val="20"/>
              </w:rPr>
              <w:t>1</w:t>
            </w:r>
          </w:p>
        </w:tc>
      </w:tr>
      <w:tr w:rsidR="00D7526A" w14:paraId="77CF8274" w14:textId="77777777">
        <w:tc>
          <w:tcPr>
            <w:tcW w:w="1200" w:type="dxa"/>
            <w:shd w:val="solid" w:color="F0F7FD" w:fill="auto"/>
            <w:tcMar>
              <w:top w:w="80" w:type="dxa"/>
              <w:left w:w="120" w:type="dxa"/>
              <w:bottom w:w="80" w:type="dxa"/>
              <w:right w:w="120" w:type="dxa"/>
            </w:tcMar>
          </w:tcPr>
          <w:p w14:paraId="74115932" w14:textId="77777777" w:rsidR="00D7526A" w:rsidRDefault="00000000">
            <w:r>
              <w:rPr>
                <w:rFonts w:cs="Arial"/>
                <w:b/>
                <w:bCs/>
                <w:sz w:val="20"/>
                <w:szCs w:val="20"/>
              </w:rPr>
              <w:t>SLMS 2</w:t>
            </w:r>
          </w:p>
        </w:tc>
        <w:tc>
          <w:tcPr>
            <w:tcW w:w="4600" w:type="dxa"/>
            <w:shd w:val="solid" w:color="F0F7FD" w:fill="auto"/>
            <w:tcMar>
              <w:top w:w="80" w:type="dxa"/>
              <w:left w:w="120" w:type="dxa"/>
              <w:bottom w:w="80" w:type="dxa"/>
              <w:right w:w="120" w:type="dxa"/>
            </w:tcMar>
          </w:tcPr>
          <w:p w14:paraId="5897CC06" w14:textId="77777777" w:rsidR="00D7526A" w:rsidRDefault="00000000">
            <w:r>
              <w:rPr>
                <w:rFonts w:cs="Arial"/>
                <w:sz w:val="20"/>
                <w:szCs w:val="20"/>
              </w:rPr>
              <w:t>Standards, Laws &amp; Management Strategies</w:t>
            </w:r>
          </w:p>
        </w:tc>
        <w:tc>
          <w:tcPr>
            <w:tcW w:w="900" w:type="dxa"/>
            <w:shd w:val="solid" w:color="F0F7FD" w:fill="auto"/>
            <w:tcMar>
              <w:top w:w="80" w:type="dxa"/>
              <w:left w:w="120" w:type="dxa"/>
              <w:bottom w:w="80" w:type="dxa"/>
              <w:right w:w="120" w:type="dxa"/>
            </w:tcMar>
          </w:tcPr>
          <w:p w14:paraId="527ADB91" w14:textId="77777777" w:rsidR="00D7526A" w:rsidRDefault="00000000">
            <w:pPr>
              <w:jc w:val="center"/>
            </w:pPr>
            <w:r>
              <w:rPr>
                <w:rFonts w:cs="Arial"/>
                <w:sz w:val="20"/>
                <w:szCs w:val="20"/>
              </w:rPr>
              <w:t>30</w:t>
            </w:r>
          </w:p>
        </w:tc>
        <w:tc>
          <w:tcPr>
            <w:tcW w:w="900" w:type="dxa"/>
            <w:shd w:val="solid" w:color="F0F7FD" w:fill="auto"/>
            <w:tcMar>
              <w:top w:w="80" w:type="dxa"/>
              <w:left w:w="120" w:type="dxa"/>
              <w:bottom w:w="80" w:type="dxa"/>
              <w:right w:w="120" w:type="dxa"/>
            </w:tcMar>
          </w:tcPr>
          <w:p w14:paraId="4E463E43" w14:textId="77777777" w:rsidR="00D7526A" w:rsidRDefault="00000000">
            <w:pPr>
              <w:jc w:val="center"/>
            </w:pPr>
            <w:r>
              <w:rPr>
                <w:rFonts w:cs="Arial"/>
                <w:sz w:val="20"/>
                <w:szCs w:val="20"/>
              </w:rPr>
              <w:t>1</w:t>
            </w:r>
          </w:p>
        </w:tc>
      </w:tr>
      <w:tr w:rsidR="00D7526A" w14:paraId="0352212C" w14:textId="77777777">
        <w:tc>
          <w:tcPr>
            <w:tcW w:w="1200" w:type="dxa"/>
            <w:shd w:val="solid" w:color="FFFFFF" w:fill="auto"/>
            <w:tcMar>
              <w:top w:w="80" w:type="dxa"/>
              <w:left w:w="120" w:type="dxa"/>
              <w:bottom w:w="80" w:type="dxa"/>
              <w:right w:w="120" w:type="dxa"/>
            </w:tcMar>
          </w:tcPr>
          <w:p w14:paraId="6ECC8E7B" w14:textId="77777777" w:rsidR="00D7526A" w:rsidRDefault="00000000">
            <w:r>
              <w:rPr>
                <w:rFonts w:cs="Arial"/>
                <w:b/>
                <w:bCs/>
                <w:sz w:val="20"/>
                <w:szCs w:val="20"/>
              </w:rPr>
              <w:t>AWD 1</w:t>
            </w:r>
          </w:p>
        </w:tc>
        <w:tc>
          <w:tcPr>
            <w:tcW w:w="4600" w:type="dxa"/>
            <w:shd w:val="solid" w:color="FFFFFF" w:fill="auto"/>
            <w:tcMar>
              <w:top w:w="80" w:type="dxa"/>
              <w:left w:w="120" w:type="dxa"/>
              <w:bottom w:w="80" w:type="dxa"/>
              <w:right w:w="120" w:type="dxa"/>
            </w:tcMar>
          </w:tcPr>
          <w:p w14:paraId="3882E591" w14:textId="77777777" w:rsidR="00D7526A" w:rsidRDefault="00000000">
            <w:r>
              <w:rPr>
                <w:rFonts w:cs="Arial"/>
                <w:sz w:val="20"/>
                <w:szCs w:val="20"/>
              </w:rPr>
              <w:t>Accessible Web Development</w:t>
            </w:r>
          </w:p>
        </w:tc>
        <w:tc>
          <w:tcPr>
            <w:tcW w:w="900" w:type="dxa"/>
            <w:shd w:val="solid" w:color="FFFFFF" w:fill="auto"/>
            <w:tcMar>
              <w:top w:w="80" w:type="dxa"/>
              <w:left w:w="120" w:type="dxa"/>
              <w:bottom w:w="80" w:type="dxa"/>
              <w:right w:w="120" w:type="dxa"/>
            </w:tcMar>
          </w:tcPr>
          <w:p w14:paraId="10ADC046" w14:textId="77777777" w:rsidR="00D7526A" w:rsidRDefault="00000000">
            <w:pPr>
              <w:jc w:val="center"/>
            </w:pPr>
            <w:r>
              <w:rPr>
                <w:rFonts w:cs="Arial"/>
                <w:sz w:val="20"/>
                <w:szCs w:val="20"/>
              </w:rPr>
              <w:t>40</w:t>
            </w:r>
          </w:p>
        </w:tc>
        <w:tc>
          <w:tcPr>
            <w:tcW w:w="900" w:type="dxa"/>
            <w:shd w:val="solid" w:color="FFFFFF" w:fill="auto"/>
            <w:tcMar>
              <w:top w:w="80" w:type="dxa"/>
              <w:left w:w="120" w:type="dxa"/>
              <w:bottom w:w="80" w:type="dxa"/>
              <w:right w:w="120" w:type="dxa"/>
            </w:tcMar>
          </w:tcPr>
          <w:p w14:paraId="74B5F3AD" w14:textId="77777777" w:rsidR="00D7526A" w:rsidRDefault="00000000">
            <w:pPr>
              <w:jc w:val="center"/>
            </w:pPr>
            <w:r>
              <w:rPr>
                <w:rFonts w:cs="Arial"/>
                <w:sz w:val="20"/>
                <w:szCs w:val="20"/>
              </w:rPr>
              <w:t>1</w:t>
            </w:r>
          </w:p>
        </w:tc>
      </w:tr>
    </w:tbl>
    <w:p w14:paraId="00CF4910" w14:textId="77777777" w:rsidR="00D7526A" w:rsidRDefault="00D7526A">
      <w:pPr>
        <w:spacing w:after="80"/>
      </w:pPr>
    </w:p>
    <w:p w14:paraId="2B32A782" w14:textId="77777777" w:rsidR="00D7526A" w:rsidRDefault="00000000">
      <w:pPr>
        <w:pStyle w:val="Heading2"/>
        <w:spacing w:before="220"/>
      </w:pPr>
      <w:r>
        <w:t>Certification</w:t>
      </w:r>
    </w:p>
    <w:p w14:paraId="5150F5A5" w14:textId="77777777" w:rsidR="00D7526A" w:rsidRDefault="00000000">
      <w:pPr>
        <w:spacing w:after="120" w:line="276" w:lineRule="auto"/>
      </w:pPr>
      <w:r>
        <w:rPr>
          <w:rFonts w:cs="Arial"/>
          <w:color w:val="444444"/>
        </w:rPr>
        <w:t>This program prepares students for the Certified Professional in Accessibility Core Competencies (CPACC) exam, issued by the International Association of Accessibility Professionals (IAAP).</w:t>
      </w:r>
    </w:p>
    <w:p w14:paraId="29EC965B" w14:textId="77777777" w:rsidR="00D7526A" w:rsidRDefault="00000000">
      <w:r>
        <w:br w:type="page"/>
      </w:r>
    </w:p>
    <w:p w14:paraId="7450EB9C" w14:textId="77777777" w:rsidR="00D7526A" w:rsidRDefault="00000000">
      <w:pPr>
        <w:pStyle w:val="Heading1"/>
        <w:pBdr>
          <w:bottom w:val="single" w:sz="6" w:space="4" w:color="1F6EA4"/>
        </w:pBdr>
      </w:pPr>
      <w:r>
        <w:lastRenderedPageBreak/>
        <w:t>Digital Accessibility Developer</w:t>
      </w: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608B4932" w14:textId="77777777">
        <w:tc>
          <w:tcPr>
            <w:tcW w:w="100" w:type="dxa"/>
            <w:shd w:val="solid" w:color="EBF3FA" w:fill="auto"/>
            <w:tcMar>
              <w:top w:w="140" w:type="dxa"/>
              <w:left w:w="200" w:type="dxa"/>
              <w:bottom w:w="140" w:type="dxa"/>
              <w:right w:w="200" w:type="dxa"/>
            </w:tcMar>
          </w:tcPr>
          <w:p w14:paraId="5F6BB59B" w14:textId="77777777" w:rsidR="00D7526A" w:rsidRDefault="00000000">
            <w:pPr>
              <w:spacing w:after="80"/>
            </w:pPr>
            <w:r>
              <w:rPr>
                <w:rFonts w:cs="Arial"/>
                <w:b/>
                <w:bCs/>
                <w:color w:val="1F6EA4"/>
              </w:rPr>
              <w:t xml:space="preserve">Duration:  </w:t>
            </w:r>
            <w:r>
              <w:rPr>
                <w:rFonts w:cs="Arial"/>
                <w:color w:val="444444"/>
              </w:rPr>
              <w:t>242 clock hours  •  12 weeks</w:t>
            </w:r>
          </w:p>
          <w:p w14:paraId="4222F7C4" w14:textId="77777777" w:rsidR="00D7526A" w:rsidRDefault="00000000">
            <w:pPr>
              <w:spacing w:after="80"/>
            </w:pPr>
            <w:r>
              <w:rPr>
                <w:rFonts w:cs="Arial"/>
                <w:b/>
                <w:bCs/>
                <w:color w:val="1F6EA4"/>
              </w:rPr>
              <w:t xml:space="preserve">Schedule:  </w:t>
            </w:r>
            <w:r>
              <w:rPr>
                <w:rFonts w:cs="Arial"/>
                <w:color w:val="444444"/>
              </w:rPr>
              <w:t>Mon–Fri, 9:00 AM – 2:00 PM  or  6:00 PM – 10:00 PM  |  New cohort every 8 weeks</w:t>
            </w:r>
          </w:p>
          <w:p w14:paraId="5287E8BA" w14:textId="77777777" w:rsidR="00D7526A" w:rsidRDefault="00000000">
            <w:pPr>
              <w:spacing w:after="80"/>
            </w:pPr>
            <w:r>
              <w:rPr>
                <w:rFonts w:cs="Arial"/>
                <w:b/>
                <w:bCs/>
                <w:color w:val="1F6EA4"/>
              </w:rPr>
              <w:t xml:space="preserve">Format:  </w:t>
            </w:r>
            <w:r>
              <w:rPr>
                <w:rFonts w:cs="Arial"/>
                <w:color w:val="444444"/>
              </w:rPr>
              <w:t>Instructor-led, virtual (online)</w:t>
            </w:r>
          </w:p>
          <w:p w14:paraId="42F80F32" w14:textId="77777777" w:rsidR="00D7526A" w:rsidRDefault="00000000">
            <w:pPr>
              <w:spacing w:after="80"/>
            </w:pPr>
            <w:r>
              <w:rPr>
                <w:rFonts w:cs="Arial"/>
                <w:b/>
                <w:bCs/>
                <w:color w:val="1F6EA4"/>
              </w:rPr>
              <w:t xml:space="preserve">Tuition:  </w:t>
            </w:r>
            <w:r>
              <w:rPr>
                <w:rFonts w:cs="Arial"/>
                <w:color w:val="444444"/>
              </w:rPr>
              <w:t>$18,150  (includes IAAP membership &amp; certification exam)</w:t>
            </w:r>
          </w:p>
          <w:p w14:paraId="416BD305" w14:textId="77777777" w:rsidR="00D7526A" w:rsidRDefault="00000000">
            <w:pPr>
              <w:spacing w:after="80"/>
            </w:pPr>
            <w:r>
              <w:rPr>
                <w:rFonts w:cs="Arial"/>
                <w:b/>
                <w:bCs/>
                <w:color w:val="1F6EA4"/>
              </w:rPr>
              <w:t xml:space="preserve">Prerequisites:  </w:t>
            </w:r>
            <w:r>
              <w:rPr>
                <w:rFonts w:cs="Arial"/>
                <w:color w:val="444444"/>
              </w:rPr>
              <w:t>Basic computer literacy, internet usage, and basic understanding of website structure</w:t>
            </w:r>
          </w:p>
        </w:tc>
      </w:tr>
    </w:tbl>
    <w:p w14:paraId="5A83EFF5" w14:textId="77777777" w:rsidR="00D7526A" w:rsidRDefault="00D7526A">
      <w:pPr>
        <w:spacing w:after="80"/>
      </w:pPr>
    </w:p>
    <w:p w14:paraId="12998052" w14:textId="77777777" w:rsidR="00D7526A" w:rsidRDefault="00000000">
      <w:pPr>
        <w:pStyle w:val="Heading2"/>
        <w:spacing w:before="220"/>
      </w:pPr>
      <w:r>
        <w:t>What You'll Learn</w:t>
      </w:r>
    </w:p>
    <w:p w14:paraId="25DC7600" w14:textId="77777777" w:rsidR="00D7526A" w:rsidRDefault="00000000">
      <w:pPr>
        <w:spacing w:after="120" w:line="276" w:lineRule="auto"/>
      </w:pPr>
      <w:r>
        <w:rPr>
          <w:rFonts w:cs="Arial"/>
          <w:color w:val="444444"/>
        </w:rPr>
        <w:t>Students develop the technical skills to build and code accessible websites, web applications, and other digital products. Graduates are prepared for entry-level roles as Web or Application Developers with a specialization in digital accessibility.</w:t>
      </w:r>
    </w:p>
    <w:p w14:paraId="15A797EC" w14:textId="77777777" w:rsidR="00D7526A" w:rsidRDefault="00000000">
      <w:pPr>
        <w:pStyle w:val="Heading2"/>
        <w:spacing w:before="220"/>
      </w:pPr>
      <w:r>
        <w:t>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7"/>
        <w:gridCol w:w="5659"/>
        <w:gridCol w:w="1107"/>
        <w:gridCol w:w="1107"/>
      </w:tblGrid>
      <w:tr w:rsidR="00D7526A" w14:paraId="2599B4E8" w14:textId="77777777">
        <w:trPr>
          <w:tblHeader/>
        </w:trPr>
        <w:tc>
          <w:tcPr>
            <w:tcW w:w="1200" w:type="dxa"/>
            <w:shd w:val="solid" w:color="1F6EA4" w:fill="auto"/>
            <w:tcMar>
              <w:top w:w="100" w:type="dxa"/>
              <w:left w:w="120" w:type="dxa"/>
              <w:bottom w:w="100" w:type="dxa"/>
              <w:right w:w="120" w:type="dxa"/>
            </w:tcMar>
          </w:tcPr>
          <w:p w14:paraId="597BFBDE" w14:textId="77777777" w:rsidR="00D7526A" w:rsidRDefault="00000000">
            <w:pPr>
              <w:jc w:val="center"/>
            </w:pPr>
            <w:r>
              <w:rPr>
                <w:rFonts w:cs="Arial"/>
                <w:b/>
                <w:bCs/>
                <w:color w:val="FFFFFF"/>
                <w:sz w:val="20"/>
                <w:szCs w:val="20"/>
              </w:rPr>
              <w:t>Code</w:t>
            </w:r>
          </w:p>
        </w:tc>
        <w:tc>
          <w:tcPr>
            <w:tcW w:w="4600" w:type="dxa"/>
            <w:shd w:val="solid" w:color="1F6EA4" w:fill="auto"/>
            <w:tcMar>
              <w:top w:w="100" w:type="dxa"/>
              <w:left w:w="120" w:type="dxa"/>
              <w:bottom w:w="100" w:type="dxa"/>
              <w:right w:w="120" w:type="dxa"/>
            </w:tcMar>
          </w:tcPr>
          <w:p w14:paraId="047A6A44" w14:textId="77777777" w:rsidR="00D7526A" w:rsidRDefault="00000000">
            <w:pPr>
              <w:jc w:val="center"/>
            </w:pPr>
            <w:r>
              <w:rPr>
                <w:rFonts w:cs="Arial"/>
                <w:b/>
                <w:bCs/>
                <w:color w:val="FFFFFF"/>
                <w:sz w:val="20"/>
                <w:szCs w:val="20"/>
              </w:rPr>
              <w:t>Course</w:t>
            </w:r>
          </w:p>
        </w:tc>
        <w:tc>
          <w:tcPr>
            <w:tcW w:w="900" w:type="dxa"/>
            <w:shd w:val="solid" w:color="1F6EA4" w:fill="auto"/>
            <w:tcMar>
              <w:top w:w="100" w:type="dxa"/>
              <w:left w:w="120" w:type="dxa"/>
              <w:bottom w:w="100" w:type="dxa"/>
              <w:right w:w="120" w:type="dxa"/>
            </w:tcMar>
          </w:tcPr>
          <w:p w14:paraId="674B546B" w14:textId="77777777" w:rsidR="00D7526A" w:rsidRDefault="00000000">
            <w:pPr>
              <w:jc w:val="center"/>
            </w:pPr>
            <w:r>
              <w:rPr>
                <w:rFonts w:cs="Arial"/>
                <w:b/>
                <w:bCs/>
                <w:color w:val="FFFFFF"/>
                <w:sz w:val="20"/>
                <w:szCs w:val="20"/>
              </w:rPr>
              <w:t>Hours</w:t>
            </w:r>
          </w:p>
        </w:tc>
        <w:tc>
          <w:tcPr>
            <w:tcW w:w="900" w:type="dxa"/>
            <w:shd w:val="solid" w:color="1F6EA4" w:fill="auto"/>
            <w:tcMar>
              <w:top w:w="100" w:type="dxa"/>
              <w:left w:w="120" w:type="dxa"/>
              <w:bottom w:w="100" w:type="dxa"/>
              <w:right w:w="120" w:type="dxa"/>
            </w:tcMar>
          </w:tcPr>
          <w:p w14:paraId="4FF28308" w14:textId="77777777" w:rsidR="00D7526A" w:rsidRDefault="00000000">
            <w:pPr>
              <w:jc w:val="center"/>
            </w:pPr>
            <w:r>
              <w:rPr>
                <w:rFonts w:cs="Arial"/>
                <w:b/>
                <w:bCs/>
                <w:color w:val="FFFFFF"/>
                <w:sz w:val="20"/>
                <w:szCs w:val="20"/>
              </w:rPr>
              <w:t>Weeks</w:t>
            </w:r>
          </w:p>
        </w:tc>
      </w:tr>
      <w:tr w:rsidR="00D7526A" w14:paraId="0F24AA68" w14:textId="77777777">
        <w:tc>
          <w:tcPr>
            <w:tcW w:w="1200" w:type="dxa"/>
            <w:shd w:val="solid" w:color="FFFFFF" w:fill="auto"/>
            <w:tcMar>
              <w:top w:w="80" w:type="dxa"/>
              <w:left w:w="120" w:type="dxa"/>
              <w:bottom w:w="80" w:type="dxa"/>
              <w:right w:w="120" w:type="dxa"/>
            </w:tcMar>
          </w:tcPr>
          <w:p w14:paraId="14BDEA72" w14:textId="77777777" w:rsidR="00D7526A" w:rsidRDefault="00000000">
            <w:r>
              <w:rPr>
                <w:rFonts w:cs="Arial"/>
                <w:b/>
                <w:bCs/>
                <w:sz w:val="20"/>
                <w:szCs w:val="20"/>
              </w:rPr>
              <w:t>DCAT</w:t>
            </w:r>
          </w:p>
        </w:tc>
        <w:tc>
          <w:tcPr>
            <w:tcW w:w="4600" w:type="dxa"/>
            <w:shd w:val="solid" w:color="FFFFFF" w:fill="auto"/>
            <w:tcMar>
              <w:top w:w="80" w:type="dxa"/>
              <w:left w:w="120" w:type="dxa"/>
              <w:bottom w:w="80" w:type="dxa"/>
              <w:right w:w="120" w:type="dxa"/>
            </w:tcMar>
          </w:tcPr>
          <w:p w14:paraId="54D7D9CD" w14:textId="77777777" w:rsidR="00D7526A" w:rsidRDefault="00000000">
            <w:r>
              <w:rPr>
                <w:rFonts w:cs="Arial"/>
                <w:sz w:val="20"/>
                <w:szCs w:val="20"/>
              </w:rPr>
              <w:t>Disabilities, Challenges &amp; Assistive Tech</w:t>
            </w:r>
          </w:p>
        </w:tc>
        <w:tc>
          <w:tcPr>
            <w:tcW w:w="900" w:type="dxa"/>
            <w:shd w:val="solid" w:color="FFFFFF" w:fill="auto"/>
            <w:tcMar>
              <w:top w:w="80" w:type="dxa"/>
              <w:left w:w="120" w:type="dxa"/>
              <w:bottom w:w="80" w:type="dxa"/>
              <w:right w:w="120" w:type="dxa"/>
            </w:tcMar>
          </w:tcPr>
          <w:p w14:paraId="77CB64C3" w14:textId="77777777" w:rsidR="00D7526A" w:rsidRDefault="00000000">
            <w:pPr>
              <w:jc w:val="center"/>
            </w:pPr>
            <w:r>
              <w:rPr>
                <w:rFonts w:cs="Arial"/>
                <w:sz w:val="20"/>
                <w:szCs w:val="20"/>
              </w:rPr>
              <w:t>30</w:t>
            </w:r>
          </w:p>
        </w:tc>
        <w:tc>
          <w:tcPr>
            <w:tcW w:w="900" w:type="dxa"/>
            <w:shd w:val="solid" w:color="FFFFFF" w:fill="auto"/>
            <w:tcMar>
              <w:top w:w="80" w:type="dxa"/>
              <w:left w:w="120" w:type="dxa"/>
              <w:bottom w:w="80" w:type="dxa"/>
              <w:right w:w="120" w:type="dxa"/>
            </w:tcMar>
          </w:tcPr>
          <w:p w14:paraId="50E57E21" w14:textId="77777777" w:rsidR="00D7526A" w:rsidRDefault="00000000">
            <w:pPr>
              <w:jc w:val="center"/>
            </w:pPr>
            <w:r>
              <w:rPr>
                <w:rFonts w:cs="Arial"/>
                <w:sz w:val="20"/>
                <w:szCs w:val="20"/>
              </w:rPr>
              <w:t>1.5</w:t>
            </w:r>
          </w:p>
        </w:tc>
      </w:tr>
      <w:tr w:rsidR="00D7526A" w14:paraId="726C5F94" w14:textId="77777777">
        <w:tc>
          <w:tcPr>
            <w:tcW w:w="1200" w:type="dxa"/>
            <w:shd w:val="solid" w:color="F0F7FD" w:fill="auto"/>
            <w:tcMar>
              <w:top w:w="80" w:type="dxa"/>
              <w:left w:w="120" w:type="dxa"/>
              <w:bottom w:w="80" w:type="dxa"/>
              <w:right w:w="120" w:type="dxa"/>
            </w:tcMar>
          </w:tcPr>
          <w:p w14:paraId="0CAA1946" w14:textId="77777777" w:rsidR="00D7526A" w:rsidRDefault="00000000">
            <w:r>
              <w:rPr>
                <w:rFonts w:cs="Arial"/>
                <w:b/>
                <w:bCs/>
                <w:sz w:val="20"/>
                <w:szCs w:val="20"/>
              </w:rPr>
              <w:t>AUD</w:t>
            </w:r>
          </w:p>
        </w:tc>
        <w:tc>
          <w:tcPr>
            <w:tcW w:w="4600" w:type="dxa"/>
            <w:shd w:val="solid" w:color="F0F7FD" w:fill="auto"/>
            <w:tcMar>
              <w:top w:w="80" w:type="dxa"/>
              <w:left w:w="120" w:type="dxa"/>
              <w:bottom w:w="80" w:type="dxa"/>
              <w:right w:w="120" w:type="dxa"/>
            </w:tcMar>
          </w:tcPr>
          <w:p w14:paraId="74983C76" w14:textId="77777777" w:rsidR="00D7526A" w:rsidRDefault="00000000">
            <w:r>
              <w:rPr>
                <w:rFonts w:cs="Arial"/>
                <w:sz w:val="20"/>
                <w:szCs w:val="20"/>
              </w:rPr>
              <w:t>Universal Design</w:t>
            </w:r>
          </w:p>
        </w:tc>
        <w:tc>
          <w:tcPr>
            <w:tcW w:w="900" w:type="dxa"/>
            <w:shd w:val="solid" w:color="F0F7FD" w:fill="auto"/>
            <w:tcMar>
              <w:top w:w="80" w:type="dxa"/>
              <w:left w:w="120" w:type="dxa"/>
              <w:bottom w:w="80" w:type="dxa"/>
              <w:right w:w="120" w:type="dxa"/>
            </w:tcMar>
          </w:tcPr>
          <w:p w14:paraId="0F547740" w14:textId="77777777" w:rsidR="00D7526A" w:rsidRDefault="00000000">
            <w:pPr>
              <w:jc w:val="center"/>
            </w:pPr>
            <w:r>
              <w:rPr>
                <w:rFonts w:cs="Arial"/>
                <w:sz w:val="20"/>
                <w:szCs w:val="20"/>
              </w:rPr>
              <w:t>10</w:t>
            </w:r>
          </w:p>
        </w:tc>
        <w:tc>
          <w:tcPr>
            <w:tcW w:w="900" w:type="dxa"/>
            <w:shd w:val="solid" w:color="F0F7FD" w:fill="auto"/>
            <w:tcMar>
              <w:top w:w="80" w:type="dxa"/>
              <w:left w:w="120" w:type="dxa"/>
              <w:bottom w:w="80" w:type="dxa"/>
              <w:right w:w="120" w:type="dxa"/>
            </w:tcMar>
          </w:tcPr>
          <w:p w14:paraId="366F99CF" w14:textId="77777777" w:rsidR="00D7526A" w:rsidRDefault="00000000">
            <w:pPr>
              <w:jc w:val="center"/>
            </w:pPr>
            <w:r>
              <w:rPr>
                <w:rFonts w:cs="Arial"/>
                <w:sz w:val="20"/>
                <w:szCs w:val="20"/>
              </w:rPr>
              <w:t>1</w:t>
            </w:r>
          </w:p>
        </w:tc>
      </w:tr>
      <w:tr w:rsidR="00D7526A" w14:paraId="2805B102" w14:textId="77777777">
        <w:tc>
          <w:tcPr>
            <w:tcW w:w="1200" w:type="dxa"/>
            <w:shd w:val="solid" w:color="FFFFFF" w:fill="auto"/>
            <w:tcMar>
              <w:top w:w="80" w:type="dxa"/>
              <w:left w:w="120" w:type="dxa"/>
              <w:bottom w:w="80" w:type="dxa"/>
              <w:right w:w="120" w:type="dxa"/>
            </w:tcMar>
          </w:tcPr>
          <w:p w14:paraId="429BB89C" w14:textId="77777777" w:rsidR="00D7526A" w:rsidRDefault="00000000">
            <w:r>
              <w:rPr>
                <w:rFonts w:cs="Arial"/>
                <w:b/>
                <w:bCs/>
                <w:sz w:val="20"/>
                <w:szCs w:val="20"/>
              </w:rPr>
              <w:t>SLMS</w:t>
            </w:r>
          </w:p>
        </w:tc>
        <w:tc>
          <w:tcPr>
            <w:tcW w:w="4600" w:type="dxa"/>
            <w:shd w:val="solid" w:color="FFFFFF" w:fill="auto"/>
            <w:tcMar>
              <w:top w:w="80" w:type="dxa"/>
              <w:left w:w="120" w:type="dxa"/>
              <w:bottom w:w="80" w:type="dxa"/>
              <w:right w:w="120" w:type="dxa"/>
            </w:tcMar>
          </w:tcPr>
          <w:p w14:paraId="6B061EA6" w14:textId="77777777" w:rsidR="00D7526A" w:rsidRDefault="00000000">
            <w:r>
              <w:rPr>
                <w:rFonts w:cs="Arial"/>
                <w:sz w:val="20"/>
                <w:szCs w:val="20"/>
              </w:rPr>
              <w:t>Standards, Laws &amp; Management Strategies</w:t>
            </w:r>
          </w:p>
        </w:tc>
        <w:tc>
          <w:tcPr>
            <w:tcW w:w="900" w:type="dxa"/>
            <w:shd w:val="solid" w:color="FFFFFF" w:fill="auto"/>
            <w:tcMar>
              <w:top w:w="80" w:type="dxa"/>
              <w:left w:w="120" w:type="dxa"/>
              <w:bottom w:w="80" w:type="dxa"/>
              <w:right w:w="120" w:type="dxa"/>
            </w:tcMar>
          </w:tcPr>
          <w:p w14:paraId="64D2A84F" w14:textId="77777777" w:rsidR="00D7526A" w:rsidRDefault="00000000">
            <w:pPr>
              <w:jc w:val="center"/>
            </w:pPr>
            <w:r>
              <w:rPr>
                <w:rFonts w:cs="Arial"/>
                <w:sz w:val="20"/>
                <w:szCs w:val="20"/>
              </w:rPr>
              <w:t>30</w:t>
            </w:r>
          </w:p>
        </w:tc>
        <w:tc>
          <w:tcPr>
            <w:tcW w:w="900" w:type="dxa"/>
            <w:shd w:val="solid" w:color="FFFFFF" w:fill="auto"/>
            <w:tcMar>
              <w:top w:w="80" w:type="dxa"/>
              <w:left w:w="120" w:type="dxa"/>
              <w:bottom w:w="80" w:type="dxa"/>
              <w:right w:w="120" w:type="dxa"/>
            </w:tcMar>
          </w:tcPr>
          <w:p w14:paraId="008FCF05" w14:textId="77777777" w:rsidR="00D7526A" w:rsidRDefault="00000000">
            <w:pPr>
              <w:jc w:val="center"/>
            </w:pPr>
            <w:r>
              <w:rPr>
                <w:rFonts w:cs="Arial"/>
                <w:sz w:val="20"/>
                <w:szCs w:val="20"/>
              </w:rPr>
              <w:t>1.5</w:t>
            </w:r>
          </w:p>
        </w:tc>
      </w:tr>
      <w:tr w:rsidR="00D7526A" w14:paraId="0534A822" w14:textId="77777777">
        <w:tc>
          <w:tcPr>
            <w:tcW w:w="1200" w:type="dxa"/>
            <w:shd w:val="solid" w:color="F0F7FD" w:fill="auto"/>
            <w:tcMar>
              <w:top w:w="80" w:type="dxa"/>
              <w:left w:w="120" w:type="dxa"/>
              <w:bottom w:w="80" w:type="dxa"/>
              <w:right w:w="120" w:type="dxa"/>
            </w:tcMar>
          </w:tcPr>
          <w:p w14:paraId="7D646A6C" w14:textId="77777777" w:rsidR="00D7526A" w:rsidRDefault="00000000">
            <w:r>
              <w:rPr>
                <w:rFonts w:cs="Arial"/>
                <w:b/>
                <w:bCs/>
                <w:sz w:val="20"/>
                <w:szCs w:val="20"/>
              </w:rPr>
              <w:t>CMAWC</w:t>
            </w:r>
          </w:p>
        </w:tc>
        <w:tc>
          <w:tcPr>
            <w:tcW w:w="4600" w:type="dxa"/>
            <w:shd w:val="solid" w:color="F0F7FD" w:fill="auto"/>
            <w:tcMar>
              <w:top w:w="80" w:type="dxa"/>
              <w:left w:w="120" w:type="dxa"/>
              <w:bottom w:w="80" w:type="dxa"/>
              <w:right w:w="120" w:type="dxa"/>
            </w:tcMar>
          </w:tcPr>
          <w:p w14:paraId="1053AEA1" w14:textId="77777777" w:rsidR="00D7526A" w:rsidRDefault="00000000">
            <w:r>
              <w:rPr>
                <w:rFonts w:cs="Arial"/>
                <w:sz w:val="20"/>
                <w:szCs w:val="20"/>
              </w:rPr>
              <w:t>Creating &amp; Managing Accessible Web Content</w:t>
            </w:r>
          </w:p>
        </w:tc>
        <w:tc>
          <w:tcPr>
            <w:tcW w:w="900" w:type="dxa"/>
            <w:shd w:val="solid" w:color="F0F7FD" w:fill="auto"/>
            <w:tcMar>
              <w:top w:w="80" w:type="dxa"/>
              <w:left w:w="120" w:type="dxa"/>
              <w:bottom w:w="80" w:type="dxa"/>
              <w:right w:w="120" w:type="dxa"/>
            </w:tcMar>
          </w:tcPr>
          <w:p w14:paraId="755F1C3E" w14:textId="77777777" w:rsidR="00D7526A" w:rsidRDefault="00000000">
            <w:pPr>
              <w:jc w:val="center"/>
            </w:pPr>
            <w:r>
              <w:rPr>
                <w:rFonts w:cs="Arial"/>
                <w:sz w:val="20"/>
                <w:szCs w:val="20"/>
              </w:rPr>
              <w:t>42</w:t>
            </w:r>
          </w:p>
        </w:tc>
        <w:tc>
          <w:tcPr>
            <w:tcW w:w="900" w:type="dxa"/>
            <w:shd w:val="solid" w:color="F0F7FD" w:fill="auto"/>
            <w:tcMar>
              <w:top w:w="80" w:type="dxa"/>
              <w:left w:w="120" w:type="dxa"/>
              <w:bottom w:w="80" w:type="dxa"/>
              <w:right w:w="120" w:type="dxa"/>
            </w:tcMar>
          </w:tcPr>
          <w:p w14:paraId="5CCB7AD8" w14:textId="77777777" w:rsidR="00D7526A" w:rsidRDefault="00000000">
            <w:pPr>
              <w:jc w:val="center"/>
            </w:pPr>
            <w:r>
              <w:rPr>
                <w:rFonts w:cs="Arial"/>
                <w:sz w:val="20"/>
                <w:szCs w:val="20"/>
              </w:rPr>
              <w:t>2</w:t>
            </w:r>
          </w:p>
        </w:tc>
      </w:tr>
      <w:tr w:rsidR="00D7526A" w14:paraId="644008E7" w14:textId="77777777">
        <w:tc>
          <w:tcPr>
            <w:tcW w:w="1200" w:type="dxa"/>
            <w:shd w:val="solid" w:color="FFFFFF" w:fill="auto"/>
            <w:tcMar>
              <w:top w:w="80" w:type="dxa"/>
              <w:left w:w="120" w:type="dxa"/>
              <w:bottom w:w="80" w:type="dxa"/>
              <w:right w:w="120" w:type="dxa"/>
            </w:tcMar>
          </w:tcPr>
          <w:p w14:paraId="5022D6E6" w14:textId="77777777" w:rsidR="00D7526A" w:rsidRDefault="00000000">
            <w:r>
              <w:rPr>
                <w:rFonts w:cs="Arial"/>
                <w:b/>
                <w:bCs/>
                <w:sz w:val="20"/>
                <w:szCs w:val="20"/>
              </w:rPr>
              <w:t>AWD</w:t>
            </w:r>
          </w:p>
        </w:tc>
        <w:tc>
          <w:tcPr>
            <w:tcW w:w="4600" w:type="dxa"/>
            <w:shd w:val="solid" w:color="FFFFFF" w:fill="auto"/>
            <w:tcMar>
              <w:top w:w="80" w:type="dxa"/>
              <w:left w:w="120" w:type="dxa"/>
              <w:bottom w:w="80" w:type="dxa"/>
              <w:right w:w="120" w:type="dxa"/>
            </w:tcMar>
          </w:tcPr>
          <w:p w14:paraId="639B1862" w14:textId="77777777" w:rsidR="00D7526A" w:rsidRDefault="00000000">
            <w:r>
              <w:rPr>
                <w:rFonts w:cs="Arial"/>
                <w:sz w:val="20"/>
                <w:szCs w:val="20"/>
              </w:rPr>
              <w:t>Accessible Web Development</w:t>
            </w:r>
          </w:p>
        </w:tc>
        <w:tc>
          <w:tcPr>
            <w:tcW w:w="900" w:type="dxa"/>
            <w:shd w:val="solid" w:color="FFFFFF" w:fill="auto"/>
            <w:tcMar>
              <w:top w:w="80" w:type="dxa"/>
              <w:left w:w="120" w:type="dxa"/>
              <w:bottom w:w="80" w:type="dxa"/>
              <w:right w:w="120" w:type="dxa"/>
            </w:tcMar>
          </w:tcPr>
          <w:p w14:paraId="500357D8" w14:textId="77777777" w:rsidR="00D7526A" w:rsidRDefault="00000000">
            <w:pPr>
              <w:jc w:val="center"/>
            </w:pPr>
            <w:r>
              <w:rPr>
                <w:rFonts w:cs="Arial"/>
                <w:sz w:val="20"/>
                <w:szCs w:val="20"/>
              </w:rPr>
              <w:t>40</w:t>
            </w:r>
          </w:p>
        </w:tc>
        <w:tc>
          <w:tcPr>
            <w:tcW w:w="900" w:type="dxa"/>
            <w:shd w:val="solid" w:color="FFFFFF" w:fill="auto"/>
            <w:tcMar>
              <w:top w:w="80" w:type="dxa"/>
              <w:left w:w="120" w:type="dxa"/>
              <w:bottom w:w="80" w:type="dxa"/>
              <w:right w:w="120" w:type="dxa"/>
            </w:tcMar>
          </w:tcPr>
          <w:p w14:paraId="2B4DD70E" w14:textId="77777777" w:rsidR="00D7526A" w:rsidRDefault="00000000">
            <w:pPr>
              <w:jc w:val="center"/>
            </w:pPr>
            <w:r>
              <w:rPr>
                <w:rFonts w:cs="Arial"/>
                <w:sz w:val="20"/>
                <w:szCs w:val="20"/>
              </w:rPr>
              <w:t>2</w:t>
            </w:r>
          </w:p>
        </w:tc>
      </w:tr>
      <w:tr w:rsidR="00D7526A" w14:paraId="6838428D" w14:textId="77777777">
        <w:tc>
          <w:tcPr>
            <w:tcW w:w="1200" w:type="dxa"/>
            <w:shd w:val="solid" w:color="F0F7FD" w:fill="auto"/>
            <w:tcMar>
              <w:top w:w="80" w:type="dxa"/>
              <w:left w:w="120" w:type="dxa"/>
              <w:bottom w:w="80" w:type="dxa"/>
              <w:right w:w="120" w:type="dxa"/>
            </w:tcMar>
          </w:tcPr>
          <w:p w14:paraId="07A27770" w14:textId="77777777" w:rsidR="00D7526A" w:rsidRDefault="00000000">
            <w:r>
              <w:rPr>
                <w:rFonts w:cs="Arial"/>
                <w:b/>
                <w:bCs/>
                <w:sz w:val="20"/>
                <w:szCs w:val="20"/>
              </w:rPr>
              <w:t>PIA</w:t>
            </w:r>
          </w:p>
        </w:tc>
        <w:tc>
          <w:tcPr>
            <w:tcW w:w="4600" w:type="dxa"/>
            <w:shd w:val="solid" w:color="F0F7FD" w:fill="auto"/>
            <w:tcMar>
              <w:top w:w="80" w:type="dxa"/>
              <w:left w:w="120" w:type="dxa"/>
              <w:bottom w:w="80" w:type="dxa"/>
              <w:right w:w="120" w:type="dxa"/>
            </w:tcMar>
          </w:tcPr>
          <w:p w14:paraId="7ECCBE47" w14:textId="77777777" w:rsidR="00D7526A" w:rsidRDefault="00000000">
            <w:r>
              <w:rPr>
                <w:rFonts w:cs="Arial"/>
                <w:sz w:val="20"/>
                <w:szCs w:val="20"/>
              </w:rPr>
              <w:t>Programming for Internet Applications</w:t>
            </w:r>
          </w:p>
        </w:tc>
        <w:tc>
          <w:tcPr>
            <w:tcW w:w="900" w:type="dxa"/>
            <w:shd w:val="solid" w:color="F0F7FD" w:fill="auto"/>
            <w:tcMar>
              <w:top w:w="80" w:type="dxa"/>
              <w:left w:w="120" w:type="dxa"/>
              <w:bottom w:w="80" w:type="dxa"/>
              <w:right w:w="120" w:type="dxa"/>
            </w:tcMar>
          </w:tcPr>
          <w:p w14:paraId="0FACABA6" w14:textId="77777777" w:rsidR="00D7526A" w:rsidRDefault="00000000">
            <w:pPr>
              <w:jc w:val="center"/>
            </w:pPr>
            <w:r>
              <w:rPr>
                <w:rFonts w:cs="Arial"/>
                <w:sz w:val="20"/>
                <w:szCs w:val="20"/>
              </w:rPr>
              <w:t>50</w:t>
            </w:r>
          </w:p>
        </w:tc>
        <w:tc>
          <w:tcPr>
            <w:tcW w:w="900" w:type="dxa"/>
            <w:shd w:val="solid" w:color="F0F7FD" w:fill="auto"/>
            <w:tcMar>
              <w:top w:w="80" w:type="dxa"/>
              <w:left w:w="120" w:type="dxa"/>
              <w:bottom w:w="80" w:type="dxa"/>
              <w:right w:w="120" w:type="dxa"/>
            </w:tcMar>
          </w:tcPr>
          <w:p w14:paraId="6E41AA89" w14:textId="77777777" w:rsidR="00D7526A" w:rsidRDefault="00000000">
            <w:pPr>
              <w:jc w:val="center"/>
            </w:pPr>
            <w:r>
              <w:rPr>
                <w:rFonts w:cs="Arial"/>
                <w:sz w:val="20"/>
                <w:szCs w:val="20"/>
              </w:rPr>
              <w:t>2.5</w:t>
            </w:r>
          </w:p>
        </w:tc>
      </w:tr>
      <w:tr w:rsidR="00D7526A" w14:paraId="307D6CCA" w14:textId="77777777">
        <w:tc>
          <w:tcPr>
            <w:tcW w:w="1200" w:type="dxa"/>
            <w:shd w:val="solid" w:color="FFFFFF" w:fill="auto"/>
            <w:tcMar>
              <w:top w:w="80" w:type="dxa"/>
              <w:left w:w="120" w:type="dxa"/>
              <w:bottom w:w="80" w:type="dxa"/>
              <w:right w:w="120" w:type="dxa"/>
            </w:tcMar>
          </w:tcPr>
          <w:p w14:paraId="515E13EE" w14:textId="77777777" w:rsidR="00D7526A" w:rsidRDefault="00000000">
            <w:r>
              <w:rPr>
                <w:rFonts w:cs="Arial"/>
                <w:b/>
                <w:bCs/>
                <w:sz w:val="20"/>
                <w:szCs w:val="20"/>
              </w:rPr>
              <w:t>COGA</w:t>
            </w:r>
          </w:p>
        </w:tc>
        <w:tc>
          <w:tcPr>
            <w:tcW w:w="4600" w:type="dxa"/>
            <w:shd w:val="solid" w:color="FFFFFF" w:fill="auto"/>
            <w:tcMar>
              <w:top w:w="80" w:type="dxa"/>
              <w:left w:w="120" w:type="dxa"/>
              <w:bottom w:w="80" w:type="dxa"/>
              <w:right w:w="120" w:type="dxa"/>
            </w:tcMar>
          </w:tcPr>
          <w:p w14:paraId="212F8334" w14:textId="77777777" w:rsidR="00D7526A" w:rsidRDefault="00000000">
            <w:r>
              <w:rPr>
                <w:rFonts w:cs="Arial"/>
                <w:sz w:val="20"/>
                <w:szCs w:val="20"/>
              </w:rPr>
              <w:t>Cognitive Accessibility</w:t>
            </w:r>
          </w:p>
        </w:tc>
        <w:tc>
          <w:tcPr>
            <w:tcW w:w="900" w:type="dxa"/>
            <w:shd w:val="solid" w:color="FFFFFF" w:fill="auto"/>
            <w:tcMar>
              <w:top w:w="80" w:type="dxa"/>
              <w:left w:w="120" w:type="dxa"/>
              <w:bottom w:w="80" w:type="dxa"/>
              <w:right w:w="120" w:type="dxa"/>
            </w:tcMar>
          </w:tcPr>
          <w:p w14:paraId="36C93164" w14:textId="77777777" w:rsidR="00D7526A" w:rsidRDefault="00000000">
            <w:pPr>
              <w:jc w:val="center"/>
            </w:pPr>
            <w:r>
              <w:rPr>
                <w:rFonts w:cs="Arial"/>
                <w:sz w:val="20"/>
                <w:szCs w:val="20"/>
              </w:rPr>
              <w:t>20</w:t>
            </w:r>
          </w:p>
        </w:tc>
        <w:tc>
          <w:tcPr>
            <w:tcW w:w="900" w:type="dxa"/>
            <w:shd w:val="solid" w:color="FFFFFF" w:fill="auto"/>
            <w:tcMar>
              <w:top w:w="80" w:type="dxa"/>
              <w:left w:w="120" w:type="dxa"/>
              <w:bottom w:w="80" w:type="dxa"/>
              <w:right w:w="120" w:type="dxa"/>
            </w:tcMar>
          </w:tcPr>
          <w:p w14:paraId="5F789873" w14:textId="77777777" w:rsidR="00D7526A" w:rsidRDefault="00000000">
            <w:pPr>
              <w:jc w:val="center"/>
            </w:pPr>
            <w:r>
              <w:rPr>
                <w:rFonts w:cs="Arial"/>
                <w:sz w:val="20"/>
                <w:szCs w:val="20"/>
              </w:rPr>
              <w:t>1</w:t>
            </w:r>
          </w:p>
        </w:tc>
      </w:tr>
      <w:tr w:rsidR="00D7526A" w14:paraId="4BED915B" w14:textId="77777777">
        <w:tc>
          <w:tcPr>
            <w:tcW w:w="1200" w:type="dxa"/>
            <w:shd w:val="solid" w:color="F0F7FD" w:fill="auto"/>
            <w:tcMar>
              <w:top w:w="80" w:type="dxa"/>
              <w:left w:w="120" w:type="dxa"/>
              <w:bottom w:w="80" w:type="dxa"/>
              <w:right w:w="120" w:type="dxa"/>
            </w:tcMar>
          </w:tcPr>
          <w:p w14:paraId="56C34245" w14:textId="77777777" w:rsidR="00D7526A" w:rsidRDefault="00000000">
            <w:r>
              <w:rPr>
                <w:rFonts w:cs="Arial"/>
                <w:b/>
                <w:bCs/>
                <w:sz w:val="20"/>
                <w:szCs w:val="20"/>
              </w:rPr>
              <w:t>UX</w:t>
            </w:r>
          </w:p>
        </w:tc>
        <w:tc>
          <w:tcPr>
            <w:tcW w:w="4600" w:type="dxa"/>
            <w:shd w:val="solid" w:color="F0F7FD" w:fill="auto"/>
            <w:tcMar>
              <w:top w:w="80" w:type="dxa"/>
              <w:left w:w="120" w:type="dxa"/>
              <w:bottom w:w="80" w:type="dxa"/>
              <w:right w:w="120" w:type="dxa"/>
            </w:tcMar>
          </w:tcPr>
          <w:p w14:paraId="1BD23672" w14:textId="77777777" w:rsidR="00D7526A" w:rsidRDefault="00000000">
            <w:r>
              <w:rPr>
                <w:rFonts w:cs="Arial"/>
                <w:sz w:val="20"/>
                <w:szCs w:val="20"/>
              </w:rPr>
              <w:t>User Experience (UX) Research</w:t>
            </w:r>
          </w:p>
        </w:tc>
        <w:tc>
          <w:tcPr>
            <w:tcW w:w="900" w:type="dxa"/>
            <w:shd w:val="solid" w:color="F0F7FD" w:fill="auto"/>
            <w:tcMar>
              <w:top w:w="80" w:type="dxa"/>
              <w:left w:w="120" w:type="dxa"/>
              <w:bottom w:w="80" w:type="dxa"/>
              <w:right w:w="120" w:type="dxa"/>
            </w:tcMar>
          </w:tcPr>
          <w:p w14:paraId="6A7F8409" w14:textId="77777777" w:rsidR="00D7526A" w:rsidRDefault="00000000">
            <w:pPr>
              <w:jc w:val="center"/>
            </w:pPr>
            <w:r>
              <w:rPr>
                <w:rFonts w:cs="Arial"/>
                <w:sz w:val="20"/>
                <w:szCs w:val="20"/>
              </w:rPr>
              <w:t>20</w:t>
            </w:r>
          </w:p>
        </w:tc>
        <w:tc>
          <w:tcPr>
            <w:tcW w:w="900" w:type="dxa"/>
            <w:shd w:val="solid" w:color="F0F7FD" w:fill="auto"/>
            <w:tcMar>
              <w:top w:w="80" w:type="dxa"/>
              <w:left w:w="120" w:type="dxa"/>
              <w:bottom w:w="80" w:type="dxa"/>
              <w:right w:w="120" w:type="dxa"/>
            </w:tcMar>
          </w:tcPr>
          <w:p w14:paraId="38F93831" w14:textId="77777777" w:rsidR="00D7526A" w:rsidRDefault="00000000">
            <w:pPr>
              <w:jc w:val="center"/>
            </w:pPr>
            <w:r>
              <w:rPr>
                <w:rFonts w:cs="Arial"/>
                <w:sz w:val="20"/>
                <w:szCs w:val="20"/>
              </w:rPr>
              <w:t>1</w:t>
            </w:r>
          </w:p>
        </w:tc>
      </w:tr>
    </w:tbl>
    <w:p w14:paraId="73EE3CED" w14:textId="77777777" w:rsidR="00D7526A" w:rsidRDefault="00D7526A">
      <w:pPr>
        <w:spacing w:after="80"/>
      </w:pPr>
    </w:p>
    <w:p w14:paraId="15A44D61" w14:textId="77777777" w:rsidR="00D7526A" w:rsidRDefault="00000000">
      <w:pPr>
        <w:pStyle w:val="Heading2"/>
        <w:spacing w:before="220"/>
      </w:pPr>
      <w:r>
        <w:t>Career Opportunities</w:t>
      </w:r>
    </w:p>
    <w:p w14:paraId="5B3950B0" w14:textId="77777777" w:rsidR="00D7526A" w:rsidRDefault="00000000">
      <w:pPr>
        <w:spacing w:after="120" w:line="276" w:lineRule="auto"/>
      </w:pPr>
      <w:r>
        <w:rPr>
          <w:rFonts w:cs="Arial"/>
          <w:color w:val="444444"/>
        </w:rPr>
        <w:t>Accessibility Tester  •  Accessibility Developer  •  Front-End Web Developer  •  Accessibility Specialist  •  UX Researcher</w:t>
      </w:r>
    </w:p>
    <w:p w14:paraId="40D95098" w14:textId="77777777" w:rsidR="00D7526A" w:rsidRDefault="00000000">
      <w:r>
        <w:br w:type="page"/>
      </w:r>
    </w:p>
    <w:p w14:paraId="6BF5BD32" w14:textId="77777777" w:rsidR="00D7526A" w:rsidRDefault="00000000">
      <w:pPr>
        <w:pStyle w:val="Heading1"/>
        <w:pBdr>
          <w:bottom w:val="single" w:sz="6" w:space="4" w:color="1F6EA4"/>
        </w:pBdr>
      </w:pPr>
      <w:r>
        <w:lastRenderedPageBreak/>
        <w:t>Disability Inclusion Specialist</w:t>
      </w: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2A9A1BBC" w14:textId="77777777">
        <w:tc>
          <w:tcPr>
            <w:tcW w:w="100" w:type="dxa"/>
            <w:shd w:val="solid" w:color="EBF3FA" w:fill="auto"/>
            <w:tcMar>
              <w:top w:w="140" w:type="dxa"/>
              <w:left w:w="200" w:type="dxa"/>
              <w:bottom w:w="140" w:type="dxa"/>
              <w:right w:w="200" w:type="dxa"/>
            </w:tcMar>
          </w:tcPr>
          <w:p w14:paraId="4D68092B" w14:textId="77777777" w:rsidR="00D7526A" w:rsidRDefault="00000000">
            <w:pPr>
              <w:spacing w:after="80"/>
            </w:pPr>
            <w:r>
              <w:rPr>
                <w:rFonts w:cs="Arial"/>
                <w:b/>
                <w:bCs/>
                <w:color w:val="1F6EA4"/>
              </w:rPr>
              <w:t xml:space="preserve">Duration:  </w:t>
            </w:r>
            <w:r>
              <w:rPr>
                <w:rFonts w:cs="Arial"/>
                <w:color w:val="444444"/>
              </w:rPr>
              <w:t>104 clock hours  •  6 weeks</w:t>
            </w:r>
          </w:p>
          <w:p w14:paraId="2B34A6F1" w14:textId="77777777" w:rsidR="00D7526A" w:rsidRDefault="00000000">
            <w:pPr>
              <w:spacing w:after="80"/>
            </w:pPr>
            <w:r>
              <w:rPr>
                <w:rFonts w:cs="Arial"/>
                <w:b/>
                <w:bCs/>
                <w:color w:val="1F6EA4"/>
              </w:rPr>
              <w:t xml:space="preserve">Schedule:  </w:t>
            </w:r>
            <w:r>
              <w:rPr>
                <w:rFonts w:cs="Arial"/>
                <w:color w:val="444444"/>
              </w:rPr>
              <w:t>Self-paced online with instructor support  |  Enroll anytime</w:t>
            </w:r>
          </w:p>
          <w:p w14:paraId="1DF529BE" w14:textId="77777777" w:rsidR="00D7526A" w:rsidRDefault="00000000">
            <w:pPr>
              <w:spacing w:after="80"/>
            </w:pPr>
            <w:r>
              <w:rPr>
                <w:rFonts w:cs="Arial"/>
                <w:b/>
                <w:bCs/>
                <w:color w:val="1F6EA4"/>
              </w:rPr>
              <w:t xml:space="preserve">Format:  </w:t>
            </w:r>
            <w:r>
              <w:rPr>
                <w:rFonts w:cs="Arial"/>
                <w:color w:val="444444"/>
              </w:rPr>
              <w:t>Instructor-led, virtual (online)</w:t>
            </w:r>
          </w:p>
          <w:p w14:paraId="614F2EB8" w14:textId="77777777" w:rsidR="00D7526A" w:rsidRDefault="00000000">
            <w:pPr>
              <w:spacing w:after="80"/>
            </w:pPr>
            <w:r>
              <w:rPr>
                <w:rFonts w:cs="Arial"/>
                <w:b/>
                <w:bCs/>
                <w:color w:val="1F6EA4"/>
              </w:rPr>
              <w:t xml:space="preserve">Tuition:  </w:t>
            </w:r>
            <w:r>
              <w:rPr>
                <w:rFonts w:cs="Arial"/>
                <w:color w:val="444444"/>
              </w:rPr>
              <w:t>$7,500</w:t>
            </w:r>
          </w:p>
          <w:p w14:paraId="35C03ABC" w14:textId="77777777" w:rsidR="00D7526A" w:rsidRDefault="00000000">
            <w:pPr>
              <w:spacing w:after="80"/>
            </w:pPr>
            <w:r>
              <w:rPr>
                <w:rFonts w:cs="Arial"/>
                <w:b/>
                <w:bCs/>
                <w:color w:val="1F6EA4"/>
              </w:rPr>
              <w:t xml:space="preserve">Prerequisites:  </w:t>
            </w:r>
            <w:r>
              <w:rPr>
                <w:rFonts w:cs="Arial"/>
                <w:color w:val="444444"/>
              </w:rPr>
              <w:t>None</w:t>
            </w:r>
          </w:p>
        </w:tc>
      </w:tr>
    </w:tbl>
    <w:p w14:paraId="7526C22D" w14:textId="77777777" w:rsidR="00D7526A" w:rsidRDefault="00D7526A">
      <w:pPr>
        <w:spacing w:after="80"/>
      </w:pPr>
    </w:p>
    <w:p w14:paraId="6AF4321B" w14:textId="77777777" w:rsidR="00D7526A" w:rsidRDefault="00000000">
      <w:pPr>
        <w:pStyle w:val="Heading2"/>
        <w:spacing w:before="220"/>
      </w:pPr>
      <w:r>
        <w:t>What You'll Learn</w:t>
      </w:r>
    </w:p>
    <w:p w14:paraId="35331618" w14:textId="77777777" w:rsidR="00D7526A" w:rsidRDefault="00000000">
      <w:pPr>
        <w:spacing w:after="120" w:line="276" w:lineRule="auto"/>
      </w:pPr>
      <w:r>
        <w:rPr>
          <w:rFonts w:cs="Arial"/>
          <w:color w:val="444444"/>
        </w:rPr>
        <w:t>Students gain the skills to plan, implement, and continuously improve diversity and inclusion efforts in the workplace. This program is designed to supplement existing Human Resources knowledge and qualifies for SHRM and HRCI recertification credits.</w:t>
      </w:r>
    </w:p>
    <w:p w14:paraId="03E359EF" w14:textId="77777777" w:rsidR="00D7526A" w:rsidRDefault="00000000">
      <w:pPr>
        <w:pStyle w:val="Heading2"/>
        <w:spacing w:before="220"/>
      </w:pPr>
      <w:r>
        <w:t>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7"/>
        <w:gridCol w:w="5659"/>
        <w:gridCol w:w="1107"/>
        <w:gridCol w:w="1107"/>
      </w:tblGrid>
      <w:tr w:rsidR="00D7526A" w14:paraId="65233FA5" w14:textId="77777777">
        <w:trPr>
          <w:tblHeader/>
        </w:trPr>
        <w:tc>
          <w:tcPr>
            <w:tcW w:w="1200" w:type="dxa"/>
            <w:shd w:val="solid" w:color="1F6EA4" w:fill="auto"/>
            <w:tcMar>
              <w:top w:w="100" w:type="dxa"/>
              <w:left w:w="120" w:type="dxa"/>
              <w:bottom w:w="100" w:type="dxa"/>
              <w:right w:w="120" w:type="dxa"/>
            </w:tcMar>
          </w:tcPr>
          <w:p w14:paraId="43FDD6AD" w14:textId="77777777" w:rsidR="00D7526A" w:rsidRDefault="00000000">
            <w:pPr>
              <w:jc w:val="center"/>
            </w:pPr>
            <w:r>
              <w:rPr>
                <w:rFonts w:cs="Arial"/>
                <w:b/>
                <w:bCs/>
                <w:color w:val="FFFFFF"/>
                <w:sz w:val="20"/>
                <w:szCs w:val="20"/>
              </w:rPr>
              <w:t>Code</w:t>
            </w:r>
          </w:p>
        </w:tc>
        <w:tc>
          <w:tcPr>
            <w:tcW w:w="4600" w:type="dxa"/>
            <w:shd w:val="solid" w:color="1F6EA4" w:fill="auto"/>
            <w:tcMar>
              <w:top w:w="100" w:type="dxa"/>
              <w:left w:w="120" w:type="dxa"/>
              <w:bottom w:w="100" w:type="dxa"/>
              <w:right w:w="120" w:type="dxa"/>
            </w:tcMar>
          </w:tcPr>
          <w:p w14:paraId="7C21952B" w14:textId="77777777" w:rsidR="00D7526A" w:rsidRDefault="00000000">
            <w:pPr>
              <w:jc w:val="center"/>
            </w:pPr>
            <w:r>
              <w:rPr>
                <w:rFonts w:cs="Arial"/>
                <w:b/>
                <w:bCs/>
                <w:color w:val="FFFFFF"/>
                <w:sz w:val="20"/>
                <w:szCs w:val="20"/>
              </w:rPr>
              <w:t>Course</w:t>
            </w:r>
          </w:p>
        </w:tc>
        <w:tc>
          <w:tcPr>
            <w:tcW w:w="900" w:type="dxa"/>
            <w:shd w:val="solid" w:color="1F6EA4" w:fill="auto"/>
            <w:tcMar>
              <w:top w:w="100" w:type="dxa"/>
              <w:left w:w="120" w:type="dxa"/>
              <w:bottom w:w="100" w:type="dxa"/>
              <w:right w:w="120" w:type="dxa"/>
            </w:tcMar>
          </w:tcPr>
          <w:p w14:paraId="2F648929" w14:textId="77777777" w:rsidR="00D7526A" w:rsidRDefault="00000000">
            <w:pPr>
              <w:jc w:val="center"/>
            </w:pPr>
            <w:r>
              <w:rPr>
                <w:rFonts w:cs="Arial"/>
                <w:b/>
                <w:bCs/>
                <w:color w:val="FFFFFF"/>
                <w:sz w:val="20"/>
                <w:szCs w:val="20"/>
              </w:rPr>
              <w:t>Hours</w:t>
            </w:r>
          </w:p>
        </w:tc>
        <w:tc>
          <w:tcPr>
            <w:tcW w:w="900" w:type="dxa"/>
            <w:shd w:val="solid" w:color="1F6EA4" w:fill="auto"/>
            <w:tcMar>
              <w:top w:w="100" w:type="dxa"/>
              <w:left w:w="120" w:type="dxa"/>
              <w:bottom w:w="100" w:type="dxa"/>
              <w:right w:w="120" w:type="dxa"/>
            </w:tcMar>
          </w:tcPr>
          <w:p w14:paraId="3EEEAB02" w14:textId="77777777" w:rsidR="00D7526A" w:rsidRDefault="00000000">
            <w:pPr>
              <w:jc w:val="center"/>
            </w:pPr>
            <w:r>
              <w:rPr>
                <w:rFonts w:cs="Arial"/>
                <w:b/>
                <w:bCs/>
                <w:color w:val="FFFFFF"/>
                <w:sz w:val="20"/>
                <w:szCs w:val="20"/>
              </w:rPr>
              <w:t>Weeks</w:t>
            </w:r>
          </w:p>
        </w:tc>
      </w:tr>
      <w:tr w:rsidR="00D7526A" w14:paraId="281C1295" w14:textId="77777777">
        <w:tc>
          <w:tcPr>
            <w:tcW w:w="1200" w:type="dxa"/>
            <w:shd w:val="solid" w:color="FFFFFF" w:fill="auto"/>
            <w:tcMar>
              <w:top w:w="80" w:type="dxa"/>
              <w:left w:w="120" w:type="dxa"/>
              <w:bottom w:w="80" w:type="dxa"/>
              <w:right w:w="120" w:type="dxa"/>
            </w:tcMar>
          </w:tcPr>
          <w:p w14:paraId="144D8791" w14:textId="77777777" w:rsidR="00D7526A" w:rsidRDefault="00000000">
            <w:r>
              <w:rPr>
                <w:rFonts w:cs="Arial"/>
                <w:b/>
                <w:bCs/>
                <w:sz w:val="20"/>
                <w:szCs w:val="20"/>
              </w:rPr>
              <w:t>CU 1</w:t>
            </w:r>
          </w:p>
        </w:tc>
        <w:tc>
          <w:tcPr>
            <w:tcW w:w="4600" w:type="dxa"/>
            <w:shd w:val="solid" w:color="FFFFFF" w:fill="auto"/>
            <w:tcMar>
              <w:top w:w="80" w:type="dxa"/>
              <w:left w:w="120" w:type="dxa"/>
              <w:bottom w:w="80" w:type="dxa"/>
              <w:right w:w="120" w:type="dxa"/>
            </w:tcMar>
          </w:tcPr>
          <w:p w14:paraId="7D568B5B" w14:textId="77777777" w:rsidR="00D7526A" w:rsidRDefault="00000000">
            <w:r>
              <w:rPr>
                <w:rFonts w:cs="Arial"/>
                <w:sz w:val="20"/>
                <w:szCs w:val="20"/>
              </w:rPr>
              <w:t>Cooperative Understanding</w:t>
            </w:r>
          </w:p>
        </w:tc>
        <w:tc>
          <w:tcPr>
            <w:tcW w:w="900" w:type="dxa"/>
            <w:shd w:val="solid" w:color="FFFFFF" w:fill="auto"/>
            <w:tcMar>
              <w:top w:w="80" w:type="dxa"/>
              <w:left w:w="120" w:type="dxa"/>
              <w:bottom w:w="80" w:type="dxa"/>
              <w:right w:w="120" w:type="dxa"/>
            </w:tcMar>
          </w:tcPr>
          <w:p w14:paraId="7C2D1F69" w14:textId="77777777" w:rsidR="00D7526A" w:rsidRDefault="00000000">
            <w:pPr>
              <w:jc w:val="center"/>
            </w:pPr>
            <w:r>
              <w:rPr>
                <w:rFonts w:cs="Arial"/>
                <w:sz w:val="20"/>
                <w:szCs w:val="20"/>
              </w:rPr>
              <w:t>—</w:t>
            </w:r>
          </w:p>
        </w:tc>
        <w:tc>
          <w:tcPr>
            <w:tcW w:w="900" w:type="dxa"/>
            <w:shd w:val="solid" w:color="FFFFFF" w:fill="auto"/>
            <w:tcMar>
              <w:top w:w="80" w:type="dxa"/>
              <w:left w:w="120" w:type="dxa"/>
              <w:bottom w:w="80" w:type="dxa"/>
              <w:right w:w="120" w:type="dxa"/>
            </w:tcMar>
          </w:tcPr>
          <w:p w14:paraId="6A1AFB00" w14:textId="77777777" w:rsidR="00D7526A" w:rsidRDefault="00000000">
            <w:pPr>
              <w:jc w:val="center"/>
            </w:pPr>
            <w:r>
              <w:rPr>
                <w:rFonts w:cs="Arial"/>
                <w:sz w:val="20"/>
                <w:szCs w:val="20"/>
              </w:rPr>
              <w:t>—</w:t>
            </w:r>
          </w:p>
        </w:tc>
      </w:tr>
      <w:tr w:rsidR="00D7526A" w14:paraId="72DE01E2" w14:textId="77777777">
        <w:tc>
          <w:tcPr>
            <w:tcW w:w="1200" w:type="dxa"/>
            <w:shd w:val="solid" w:color="F0F7FD" w:fill="auto"/>
            <w:tcMar>
              <w:top w:w="80" w:type="dxa"/>
              <w:left w:w="120" w:type="dxa"/>
              <w:bottom w:w="80" w:type="dxa"/>
              <w:right w:w="120" w:type="dxa"/>
            </w:tcMar>
          </w:tcPr>
          <w:p w14:paraId="5801A0F7" w14:textId="77777777" w:rsidR="00D7526A" w:rsidRDefault="00000000">
            <w:r>
              <w:rPr>
                <w:rFonts w:cs="Arial"/>
                <w:b/>
                <w:bCs/>
                <w:sz w:val="20"/>
                <w:szCs w:val="20"/>
              </w:rPr>
              <w:t>DCAT 1</w:t>
            </w:r>
          </w:p>
        </w:tc>
        <w:tc>
          <w:tcPr>
            <w:tcW w:w="4600" w:type="dxa"/>
            <w:shd w:val="solid" w:color="F0F7FD" w:fill="auto"/>
            <w:tcMar>
              <w:top w:w="80" w:type="dxa"/>
              <w:left w:w="120" w:type="dxa"/>
              <w:bottom w:w="80" w:type="dxa"/>
              <w:right w:w="120" w:type="dxa"/>
            </w:tcMar>
          </w:tcPr>
          <w:p w14:paraId="5188FE78" w14:textId="77777777" w:rsidR="00D7526A" w:rsidRDefault="00000000">
            <w:r>
              <w:rPr>
                <w:rFonts w:cs="Arial"/>
                <w:sz w:val="20"/>
                <w:szCs w:val="20"/>
              </w:rPr>
              <w:t>Disabilities, Challenges &amp; Assistive Tech</w:t>
            </w:r>
          </w:p>
        </w:tc>
        <w:tc>
          <w:tcPr>
            <w:tcW w:w="900" w:type="dxa"/>
            <w:shd w:val="solid" w:color="F0F7FD" w:fill="auto"/>
            <w:tcMar>
              <w:top w:w="80" w:type="dxa"/>
              <w:left w:w="120" w:type="dxa"/>
              <w:bottom w:w="80" w:type="dxa"/>
              <w:right w:w="120" w:type="dxa"/>
            </w:tcMar>
          </w:tcPr>
          <w:p w14:paraId="0F971A2A" w14:textId="77777777" w:rsidR="00D7526A" w:rsidRDefault="00000000">
            <w:pPr>
              <w:jc w:val="center"/>
            </w:pPr>
            <w:r>
              <w:rPr>
                <w:rFonts w:cs="Arial"/>
                <w:sz w:val="20"/>
                <w:szCs w:val="20"/>
              </w:rPr>
              <w:t>—</w:t>
            </w:r>
          </w:p>
        </w:tc>
        <w:tc>
          <w:tcPr>
            <w:tcW w:w="900" w:type="dxa"/>
            <w:shd w:val="solid" w:color="F0F7FD" w:fill="auto"/>
            <w:tcMar>
              <w:top w:w="80" w:type="dxa"/>
              <w:left w:w="120" w:type="dxa"/>
              <w:bottom w:w="80" w:type="dxa"/>
              <w:right w:w="120" w:type="dxa"/>
            </w:tcMar>
          </w:tcPr>
          <w:p w14:paraId="32D36532" w14:textId="77777777" w:rsidR="00D7526A" w:rsidRDefault="00000000">
            <w:pPr>
              <w:jc w:val="center"/>
            </w:pPr>
            <w:r>
              <w:rPr>
                <w:rFonts w:cs="Arial"/>
                <w:sz w:val="20"/>
                <w:szCs w:val="20"/>
              </w:rPr>
              <w:t>—</w:t>
            </w:r>
          </w:p>
        </w:tc>
      </w:tr>
      <w:tr w:rsidR="00D7526A" w14:paraId="488E8305" w14:textId="77777777">
        <w:tc>
          <w:tcPr>
            <w:tcW w:w="1200" w:type="dxa"/>
            <w:shd w:val="solid" w:color="FFFFFF" w:fill="auto"/>
            <w:tcMar>
              <w:top w:w="80" w:type="dxa"/>
              <w:left w:w="120" w:type="dxa"/>
              <w:bottom w:w="80" w:type="dxa"/>
              <w:right w:w="120" w:type="dxa"/>
            </w:tcMar>
          </w:tcPr>
          <w:p w14:paraId="49FB2952" w14:textId="77777777" w:rsidR="00D7526A" w:rsidRDefault="00000000">
            <w:r>
              <w:rPr>
                <w:rFonts w:cs="Arial"/>
                <w:b/>
                <w:bCs/>
                <w:sz w:val="20"/>
                <w:szCs w:val="20"/>
              </w:rPr>
              <w:t>AUD 1</w:t>
            </w:r>
          </w:p>
        </w:tc>
        <w:tc>
          <w:tcPr>
            <w:tcW w:w="4600" w:type="dxa"/>
            <w:shd w:val="solid" w:color="FFFFFF" w:fill="auto"/>
            <w:tcMar>
              <w:top w:w="80" w:type="dxa"/>
              <w:left w:w="120" w:type="dxa"/>
              <w:bottom w:w="80" w:type="dxa"/>
              <w:right w:w="120" w:type="dxa"/>
            </w:tcMar>
          </w:tcPr>
          <w:p w14:paraId="436D101F" w14:textId="77777777" w:rsidR="00D7526A" w:rsidRDefault="00000000">
            <w:r>
              <w:rPr>
                <w:rFonts w:cs="Arial"/>
                <w:sz w:val="20"/>
                <w:szCs w:val="20"/>
              </w:rPr>
              <w:t>Accessibility &amp; Universal Design</w:t>
            </w:r>
          </w:p>
        </w:tc>
        <w:tc>
          <w:tcPr>
            <w:tcW w:w="900" w:type="dxa"/>
            <w:shd w:val="solid" w:color="FFFFFF" w:fill="auto"/>
            <w:tcMar>
              <w:top w:w="80" w:type="dxa"/>
              <w:left w:w="120" w:type="dxa"/>
              <w:bottom w:w="80" w:type="dxa"/>
              <w:right w:w="120" w:type="dxa"/>
            </w:tcMar>
          </w:tcPr>
          <w:p w14:paraId="4A104D3A" w14:textId="77777777" w:rsidR="00D7526A" w:rsidRDefault="00000000">
            <w:pPr>
              <w:jc w:val="center"/>
            </w:pPr>
            <w:r>
              <w:rPr>
                <w:rFonts w:cs="Arial"/>
                <w:sz w:val="20"/>
                <w:szCs w:val="20"/>
              </w:rPr>
              <w:t>—</w:t>
            </w:r>
          </w:p>
        </w:tc>
        <w:tc>
          <w:tcPr>
            <w:tcW w:w="900" w:type="dxa"/>
            <w:shd w:val="solid" w:color="FFFFFF" w:fill="auto"/>
            <w:tcMar>
              <w:top w:w="80" w:type="dxa"/>
              <w:left w:w="120" w:type="dxa"/>
              <w:bottom w:w="80" w:type="dxa"/>
              <w:right w:w="120" w:type="dxa"/>
            </w:tcMar>
          </w:tcPr>
          <w:p w14:paraId="6E6F8D59" w14:textId="77777777" w:rsidR="00D7526A" w:rsidRDefault="00000000">
            <w:pPr>
              <w:jc w:val="center"/>
            </w:pPr>
            <w:r>
              <w:rPr>
                <w:rFonts w:cs="Arial"/>
                <w:sz w:val="20"/>
                <w:szCs w:val="20"/>
              </w:rPr>
              <w:t>—</w:t>
            </w:r>
          </w:p>
        </w:tc>
      </w:tr>
      <w:tr w:rsidR="00D7526A" w14:paraId="5827CD76" w14:textId="77777777">
        <w:tc>
          <w:tcPr>
            <w:tcW w:w="1200" w:type="dxa"/>
            <w:shd w:val="solid" w:color="F0F7FD" w:fill="auto"/>
            <w:tcMar>
              <w:top w:w="80" w:type="dxa"/>
              <w:left w:w="120" w:type="dxa"/>
              <w:bottom w:w="80" w:type="dxa"/>
              <w:right w:w="120" w:type="dxa"/>
            </w:tcMar>
          </w:tcPr>
          <w:p w14:paraId="1E45420B" w14:textId="77777777" w:rsidR="00D7526A" w:rsidRDefault="00000000">
            <w:r>
              <w:rPr>
                <w:rFonts w:cs="Arial"/>
                <w:b/>
                <w:bCs/>
                <w:sz w:val="20"/>
                <w:szCs w:val="20"/>
              </w:rPr>
              <w:t>SLMS 1</w:t>
            </w:r>
          </w:p>
        </w:tc>
        <w:tc>
          <w:tcPr>
            <w:tcW w:w="4600" w:type="dxa"/>
            <w:shd w:val="solid" w:color="F0F7FD" w:fill="auto"/>
            <w:tcMar>
              <w:top w:w="80" w:type="dxa"/>
              <w:left w:w="120" w:type="dxa"/>
              <w:bottom w:w="80" w:type="dxa"/>
              <w:right w:w="120" w:type="dxa"/>
            </w:tcMar>
          </w:tcPr>
          <w:p w14:paraId="620350B3" w14:textId="77777777" w:rsidR="00D7526A" w:rsidRDefault="00000000">
            <w:r>
              <w:rPr>
                <w:rFonts w:cs="Arial"/>
                <w:sz w:val="20"/>
                <w:szCs w:val="20"/>
              </w:rPr>
              <w:t>Standards, Laws &amp; Management Strategies</w:t>
            </w:r>
          </w:p>
        </w:tc>
        <w:tc>
          <w:tcPr>
            <w:tcW w:w="900" w:type="dxa"/>
            <w:shd w:val="solid" w:color="F0F7FD" w:fill="auto"/>
            <w:tcMar>
              <w:top w:w="80" w:type="dxa"/>
              <w:left w:w="120" w:type="dxa"/>
              <w:bottom w:w="80" w:type="dxa"/>
              <w:right w:w="120" w:type="dxa"/>
            </w:tcMar>
          </w:tcPr>
          <w:p w14:paraId="343BBF6A" w14:textId="77777777" w:rsidR="00D7526A" w:rsidRDefault="00000000">
            <w:pPr>
              <w:jc w:val="center"/>
            </w:pPr>
            <w:r>
              <w:rPr>
                <w:rFonts w:cs="Arial"/>
                <w:sz w:val="20"/>
                <w:szCs w:val="20"/>
              </w:rPr>
              <w:t>—</w:t>
            </w:r>
          </w:p>
        </w:tc>
        <w:tc>
          <w:tcPr>
            <w:tcW w:w="900" w:type="dxa"/>
            <w:shd w:val="solid" w:color="F0F7FD" w:fill="auto"/>
            <w:tcMar>
              <w:top w:w="80" w:type="dxa"/>
              <w:left w:w="120" w:type="dxa"/>
              <w:bottom w:w="80" w:type="dxa"/>
              <w:right w:w="120" w:type="dxa"/>
            </w:tcMar>
          </w:tcPr>
          <w:p w14:paraId="732B1DEC" w14:textId="77777777" w:rsidR="00D7526A" w:rsidRDefault="00000000">
            <w:pPr>
              <w:jc w:val="center"/>
            </w:pPr>
            <w:r>
              <w:rPr>
                <w:rFonts w:cs="Arial"/>
                <w:sz w:val="20"/>
                <w:szCs w:val="20"/>
              </w:rPr>
              <w:t>—</w:t>
            </w:r>
          </w:p>
        </w:tc>
      </w:tr>
    </w:tbl>
    <w:p w14:paraId="0A0202E9" w14:textId="77777777" w:rsidR="00D7526A" w:rsidRDefault="00D7526A">
      <w:pPr>
        <w:spacing w:after="80"/>
      </w:pPr>
    </w:p>
    <w:p w14:paraId="0A364C5C" w14:textId="77777777" w:rsidR="00D7526A" w:rsidRDefault="00000000">
      <w:pPr>
        <w:pStyle w:val="Heading2"/>
        <w:spacing w:before="220"/>
      </w:pPr>
      <w:r>
        <w:t>Credentials Earned</w:t>
      </w:r>
    </w:p>
    <w:p w14:paraId="601C233C" w14:textId="77777777" w:rsidR="00D7526A" w:rsidRDefault="00000000">
      <w:pPr>
        <w:spacing w:after="120" w:line="276" w:lineRule="auto"/>
      </w:pPr>
      <w:r>
        <w:rPr>
          <w:rFonts w:cs="Arial"/>
          <w:color w:val="444444"/>
        </w:rPr>
        <w:t>Certificate of Completion. Qualifies for SHRM Professional Development Credits and HRCI Recertification Credits upon passing all quizzes with 100% and viewing all lesson videos.</w:t>
      </w:r>
    </w:p>
    <w:p w14:paraId="3280AF61" w14:textId="77777777" w:rsidR="00D7526A" w:rsidRDefault="00000000">
      <w:r>
        <w:br w:type="page"/>
      </w:r>
    </w:p>
    <w:p w14:paraId="0DD4FC60" w14:textId="77777777" w:rsidR="00D7526A" w:rsidRDefault="00000000">
      <w:pPr>
        <w:pStyle w:val="Heading1"/>
        <w:pBdr>
          <w:bottom w:val="single" w:sz="6" w:space="4" w:color="1F6EA4"/>
        </w:pBdr>
      </w:pPr>
      <w:r>
        <w:lastRenderedPageBreak/>
        <w:t>Academic Policies</w:t>
      </w:r>
    </w:p>
    <w:p w14:paraId="3EE2A413" w14:textId="77777777" w:rsidR="00D7526A" w:rsidRDefault="00000000">
      <w:pPr>
        <w:pStyle w:val="Heading2"/>
        <w:spacing w:before="220"/>
      </w:pPr>
      <w:r>
        <w:t>Attendance</w:t>
      </w:r>
    </w:p>
    <w:p w14:paraId="17BD4565" w14:textId="77777777" w:rsidR="00D7526A" w:rsidRDefault="00000000">
      <w:pPr>
        <w:pStyle w:val="ListParagraph"/>
        <w:numPr>
          <w:ilvl w:val="0"/>
          <w:numId w:val="2"/>
        </w:numPr>
        <w:spacing w:after="60" w:line="276" w:lineRule="auto"/>
      </w:pPr>
      <w:r>
        <w:rPr>
          <w:color w:val="444444"/>
        </w:rPr>
        <w:t>Students must attend more than 85% of scheduled sessions.</w:t>
      </w:r>
    </w:p>
    <w:p w14:paraId="531BFB06" w14:textId="77777777" w:rsidR="00D7526A" w:rsidRDefault="00000000">
      <w:pPr>
        <w:pStyle w:val="ListParagraph"/>
        <w:numPr>
          <w:ilvl w:val="0"/>
          <w:numId w:val="2"/>
        </w:numPr>
        <w:spacing w:after="60" w:line="276" w:lineRule="auto"/>
      </w:pPr>
      <w:r>
        <w:rPr>
          <w:color w:val="444444"/>
        </w:rPr>
        <w:t>A verbal warning is issued when attendance drops below 90%.</w:t>
      </w:r>
    </w:p>
    <w:p w14:paraId="7379EC05" w14:textId="77777777" w:rsidR="00D7526A" w:rsidRDefault="00000000">
      <w:pPr>
        <w:pStyle w:val="ListParagraph"/>
        <w:numPr>
          <w:ilvl w:val="0"/>
          <w:numId w:val="2"/>
        </w:numPr>
        <w:spacing w:after="60" w:line="276" w:lineRule="auto"/>
      </w:pPr>
      <w:r>
        <w:rPr>
          <w:color w:val="444444"/>
        </w:rPr>
        <w:t>Attendance below 85% places a student on academic probation.</w:t>
      </w:r>
    </w:p>
    <w:p w14:paraId="276069AA" w14:textId="77777777" w:rsidR="00D7526A" w:rsidRDefault="00000000">
      <w:pPr>
        <w:pStyle w:val="Heading2"/>
        <w:spacing w:before="220"/>
      </w:pPr>
      <w:r>
        <w:t>Grading</w:t>
      </w:r>
    </w:p>
    <w:p w14:paraId="38C25D2D" w14:textId="77777777" w:rsidR="00D7526A" w:rsidRDefault="00000000">
      <w:pPr>
        <w:spacing w:after="120" w:line="276" w:lineRule="auto"/>
      </w:pPr>
      <w:r>
        <w:rPr>
          <w:rFonts w:cs="Arial"/>
          <w:color w:val="444444"/>
        </w:rPr>
        <w:t>All programs are graded on a Pass / Fail basis.</w:t>
      </w:r>
    </w:p>
    <w:p w14:paraId="137D4697" w14:textId="77777777" w:rsidR="00D7526A" w:rsidRDefault="00000000">
      <w:pPr>
        <w:pStyle w:val="ListParagraph"/>
        <w:numPr>
          <w:ilvl w:val="0"/>
          <w:numId w:val="2"/>
        </w:numPr>
        <w:spacing w:after="60" w:line="276" w:lineRule="auto"/>
      </w:pPr>
      <w:r>
        <w:rPr>
          <w:color w:val="444444"/>
        </w:rPr>
        <w:t>Pass: at least 85% attendance and 80% average on quizzes/tests.</w:t>
      </w:r>
    </w:p>
    <w:p w14:paraId="4809CE05" w14:textId="77777777" w:rsidR="00D7526A" w:rsidRDefault="00000000">
      <w:pPr>
        <w:pStyle w:val="ListParagraph"/>
        <w:numPr>
          <w:ilvl w:val="0"/>
          <w:numId w:val="2"/>
        </w:numPr>
        <w:spacing w:after="60" w:line="276" w:lineRule="auto"/>
      </w:pPr>
      <w:r>
        <w:rPr>
          <w:color w:val="444444"/>
        </w:rPr>
        <w:t>I (Incomplete): instructor may grant a two-month extension at no extra cost.</w:t>
      </w:r>
    </w:p>
    <w:p w14:paraId="3B317460" w14:textId="77777777" w:rsidR="00D7526A" w:rsidRDefault="00000000">
      <w:pPr>
        <w:pStyle w:val="ListParagraph"/>
        <w:numPr>
          <w:ilvl w:val="0"/>
          <w:numId w:val="2"/>
        </w:numPr>
        <w:spacing w:after="60" w:line="276" w:lineRule="auto"/>
      </w:pPr>
      <w:r>
        <w:rPr>
          <w:color w:val="444444"/>
        </w:rPr>
        <w:t>W (Withdraw): issued if progress is insufficient to warrant an extension.</w:t>
      </w:r>
    </w:p>
    <w:p w14:paraId="734A698E" w14:textId="77777777" w:rsidR="00D7526A" w:rsidRDefault="00000000">
      <w:pPr>
        <w:pStyle w:val="Heading2"/>
        <w:spacing w:before="220"/>
      </w:pPr>
      <w:r>
        <w:t>Graduation Requirements</w:t>
      </w:r>
    </w:p>
    <w:p w14:paraId="08C04EE5" w14:textId="77777777" w:rsidR="00D7526A" w:rsidRDefault="00000000">
      <w:pPr>
        <w:pStyle w:val="ListParagraph"/>
        <w:numPr>
          <w:ilvl w:val="0"/>
          <w:numId w:val="2"/>
        </w:numPr>
        <w:spacing w:after="60" w:line="276" w:lineRule="auto"/>
      </w:pPr>
      <w:r>
        <w:rPr>
          <w:color w:val="444444"/>
        </w:rPr>
        <w:t>Complete all coursework within 1.5× the standard program length.</w:t>
      </w:r>
    </w:p>
    <w:p w14:paraId="549F66A8" w14:textId="77777777" w:rsidR="00D7526A" w:rsidRDefault="00000000">
      <w:pPr>
        <w:pStyle w:val="ListParagraph"/>
        <w:numPr>
          <w:ilvl w:val="0"/>
          <w:numId w:val="2"/>
        </w:numPr>
        <w:spacing w:after="60" w:line="276" w:lineRule="auto"/>
      </w:pPr>
      <w:r>
        <w:rPr>
          <w:color w:val="444444"/>
        </w:rPr>
        <w:t>Pass each module with a passing grade.</w:t>
      </w:r>
    </w:p>
    <w:p w14:paraId="02320F1B" w14:textId="77777777" w:rsidR="00D7526A" w:rsidRDefault="00000000">
      <w:pPr>
        <w:pStyle w:val="ListParagraph"/>
        <w:numPr>
          <w:ilvl w:val="0"/>
          <w:numId w:val="2"/>
        </w:numPr>
        <w:spacing w:after="60" w:line="276" w:lineRule="auto"/>
      </w:pPr>
      <w:r>
        <w:rPr>
          <w:color w:val="444444"/>
        </w:rPr>
        <w:t>Students who do not meet these requirements may be placed on academic probation or dropped from the program.</w:t>
      </w:r>
    </w:p>
    <w:p w14:paraId="557A2AA4" w14:textId="77777777" w:rsidR="00D7526A" w:rsidRDefault="00000000">
      <w:pPr>
        <w:pStyle w:val="Heading2"/>
        <w:spacing w:before="220"/>
      </w:pPr>
      <w:r>
        <w:t>Make-Up Work</w:t>
      </w:r>
    </w:p>
    <w:p w14:paraId="4AC2B962" w14:textId="77777777" w:rsidR="00D7526A" w:rsidRDefault="00000000">
      <w:pPr>
        <w:spacing w:after="120" w:line="276" w:lineRule="auto"/>
      </w:pPr>
      <w:r>
        <w:rPr>
          <w:rFonts w:cs="Arial"/>
          <w:color w:val="444444"/>
        </w:rPr>
        <w:t>Students may be assigned make-up work to cover absences of up to 2 days per month. Missed tests must be rescheduled with the instructor; absences remain on record.</w:t>
      </w:r>
    </w:p>
    <w:p w14:paraId="2B4ED359" w14:textId="77777777" w:rsidR="00D7526A" w:rsidRDefault="00000000">
      <w:pPr>
        <w:pStyle w:val="Heading2"/>
        <w:spacing w:before="220"/>
      </w:pPr>
      <w:r>
        <w:t>Student Code of Conduct</w:t>
      </w:r>
    </w:p>
    <w:p w14:paraId="0A0EC2A5" w14:textId="77777777" w:rsidR="00D7526A" w:rsidRDefault="00000000">
      <w:pPr>
        <w:pStyle w:val="ListParagraph"/>
        <w:numPr>
          <w:ilvl w:val="0"/>
          <w:numId w:val="2"/>
        </w:numPr>
        <w:spacing w:after="60" w:line="276" w:lineRule="auto"/>
      </w:pPr>
      <w:r>
        <w:rPr>
          <w:color w:val="444444"/>
        </w:rPr>
        <w:t>Maintain orderly, honest, and professional conduct at all times.</w:t>
      </w:r>
    </w:p>
    <w:p w14:paraId="734DE817" w14:textId="77777777" w:rsidR="00D7526A" w:rsidRDefault="00000000">
      <w:pPr>
        <w:pStyle w:val="ListParagraph"/>
        <w:numPr>
          <w:ilvl w:val="0"/>
          <w:numId w:val="2"/>
        </w:numPr>
        <w:spacing w:after="60" w:line="276" w:lineRule="auto"/>
      </w:pPr>
      <w:r>
        <w:rPr>
          <w:color w:val="444444"/>
        </w:rPr>
        <w:t>Respect school property and fellow students.</w:t>
      </w:r>
    </w:p>
    <w:p w14:paraId="0ECDA462" w14:textId="77777777" w:rsidR="00D7526A" w:rsidRDefault="00000000">
      <w:pPr>
        <w:pStyle w:val="ListParagraph"/>
        <w:numPr>
          <w:ilvl w:val="0"/>
          <w:numId w:val="2"/>
        </w:numPr>
        <w:spacing w:after="60" w:line="276" w:lineRule="auto"/>
      </w:pPr>
      <w:r>
        <w:rPr>
          <w:color w:val="444444"/>
        </w:rPr>
        <w:t>Violations (cheating, substance abuse, failure to meet financial obligations, non-attendance) may result in dismissal.</w:t>
      </w:r>
    </w:p>
    <w:p w14:paraId="0227F7FB" w14:textId="77777777" w:rsidR="00D7526A" w:rsidRDefault="00000000">
      <w:pPr>
        <w:pStyle w:val="ListParagraph"/>
        <w:numPr>
          <w:ilvl w:val="0"/>
          <w:numId w:val="2"/>
        </w:numPr>
        <w:spacing w:after="60" w:line="276" w:lineRule="auto"/>
      </w:pPr>
      <w:r>
        <w:rPr>
          <w:color w:val="444444"/>
        </w:rPr>
        <w:t>Dismissed students may appeal in writing to the Director with supporting documentation.</w:t>
      </w:r>
    </w:p>
    <w:p w14:paraId="52610A62" w14:textId="77777777" w:rsidR="00D7526A" w:rsidRDefault="00000000">
      <w:pPr>
        <w:pStyle w:val="Heading2"/>
        <w:spacing w:before="220"/>
      </w:pPr>
      <w:r>
        <w:t>Academic Probation &amp; Dismissal</w:t>
      </w:r>
    </w:p>
    <w:p w14:paraId="6FD84644" w14:textId="77777777" w:rsidR="00D7526A" w:rsidRDefault="00000000">
      <w:pPr>
        <w:spacing w:after="120" w:line="276" w:lineRule="auto"/>
      </w:pPr>
      <w:r>
        <w:rPr>
          <w:rFonts w:cs="Arial"/>
          <w:color w:val="444444"/>
        </w:rPr>
        <w:t>Students whose cumulative GPA falls below 70% or who complete less than 66.67% of coursework at the mid-program evaluation point will be placed on academic probation. Failure to meet the probation plan milestones results in permanent dismissal. Dismissed students must meet with the School Counselor and receive approval from the School Director before re-enrolling.</w:t>
      </w:r>
    </w:p>
    <w:p w14:paraId="570C886D" w14:textId="77777777" w:rsidR="00D7526A" w:rsidRDefault="00000000">
      <w:r>
        <w:br w:type="page"/>
      </w:r>
    </w:p>
    <w:p w14:paraId="16DAA2D4" w14:textId="77777777" w:rsidR="00D7526A" w:rsidRDefault="00000000">
      <w:pPr>
        <w:pStyle w:val="Heading1"/>
        <w:pBdr>
          <w:bottom w:val="single" w:sz="6" w:space="4" w:color="1F6EA4"/>
        </w:pBdr>
      </w:pPr>
      <w:r>
        <w:lastRenderedPageBreak/>
        <w:t>Admissions &amp; Enrollment</w:t>
      </w:r>
    </w:p>
    <w:p w14:paraId="5CA561B3" w14:textId="77777777" w:rsidR="00D7526A" w:rsidRDefault="00000000">
      <w:pPr>
        <w:pStyle w:val="Heading2"/>
        <w:spacing w:before="220"/>
      </w:pPr>
      <w:r>
        <w:t>How to Enroll</w:t>
      </w:r>
    </w:p>
    <w:p w14:paraId="4FA20331" w14:textId="77777777" w:rsidR="00D7526A" w:rsidRDefault="00000000">
      <w:pPr>
        <w:pStyle w:val="ListParagraph"/>
        <w:numPr>
          <w:ilvl w:val="0"/>
          <w:numId w:val="2"/>
        </w:numPr>
        <w:spacing w:after="60" w:line="276" w:lineRule="auto"/>
      </w:pPr>
      <w:r>
        <w:rPr>
          <w:color w:val="444444"/>
        </w:rPr>
        <w:t>Pay all applicable fees per the current fee schedule prior to receiving an enrollment contract.</w:t>
      </w:r>
    </w:p>
    <w:p w14:paraId="15614F9C" w14:textId="77777777" w:rsidR="00D7526A" w:rsidRDefault="00000000">
      <w:pPr>
        <w:pStyle w:val="ListParagraph"/>
        <w:numPr>
          <w:ilvl w:val="0"/>
          <w:numId w:val="2"/>
        </w:numPr>
        <w:spacing w:after="60" w:line="276" w:lineRule="auto"/>
      </w:pPr>
      <w:r>
        <w:rPr>
          <w:color w:val="444444"/>
        </w:rPr>
        <w:t>English is the sole language of instruction.</w:t>
      </w:r>
    </w:p>
    <w:p w14:paraId="5137E139" w14:textId="77777777" w:rsidR="00D7526A" w:rsidRDefault="00000000">
      <w:pPr>
        <w:pStyle w:val="ListParagraph"/>
        <w:numPr>
          <w:ilvl w:val="0"/>
          <w:numId w:val="2"/>
        </w:numPr>
        <w:spacing w:after="60" w:line="276" w:lineRule="auto"/>
      </w:pPr>
      <w:r>
        <w:rPr>
          <w:color w:val="444444"/>
        </w:rPr>
        <w:t>Non-native English speakers may be required to provide a TOEFL score of 500 (paper-based) or 70 (internet-based).</w:t>
      </w:r>
    </w:p>
    <w:p w14:paraId="67C82178" w14:textId="77777777" w:rsidR="00D7526A" w:rsidRDefault="00000000">
      <w:pPr>
        <w:pStyle w:val="ListParagraph"/>
        <w:numPr>
          <w:ilvl w:val="0"/>
          <w:numId w:val="2"/>
        </w:numPr>
        <w:spacing w:after="60" w:line="276" w:lineRule="auto"/>
      </w:pPr>
      <w:r>
        <w:rPr>
          <w:color w:val="444444"/>
        </w:rPr>
        <w:t>This institution does not accept international students or provide visa services.</w:t>
      </w:r>
    </w:p>
    <w:p w14:paraId="03B8E9AA" w14:textId="77777777" w:rsidR="00D7526A" w:rsidRDefault="00000000">
      <w:pPr>
        <w:pStyle w:val="Heading2"/>
        <w:spacing w:before="220"/>
      </w:pPr>
      <w:r>
        <w:t>Transfer Credit</w:t>
      </w:r>
    </w:p>
    <w:p w14:paraId="67E8D5E7" w14:textId="77777777" w:rsidR="00D7526A" w:rsidRDefault="00000000">
      <w:pPr>
        <w:spacing w:after="120" w:line="276" w:lineRule="auto"/>
      </w:pPr>
      <w:r>
        <w:rPr>
          <w:rFonts w:cs="Arial"/>
          <w:color w:val="444444"/>
        </w:rPr>
        <w:t>Helix Opportunity Institute does not accept transfer credit and has not entered into articulation or transfer agreements with other institutions. Acceptance of credits earned here is at the complete discretion of any receiving institution.</w:t>
      </w:r>
    </w:p>
    <w:p w14:paraId="6A62F321" w14:textId="77777777" w:rsidR="00D7526A" w:rsidRDefault="00000000">
      <w:pPr>
        <w:pStyle w:val="Heading2"/>
        <w:spacing w:before="220"/>
      </w:pPr>
      <w:r>
        <w:t>Student's Right to Cancel</w:t>
      </w:r>
    </w:p>
    <w:p w14:paraId="71162E9F" w14:textId="77777777" w:rsidR="00D7526A" w:rsidRDefault="00000000">
      <w:pPr>
        <w:spacing w:after="120" w:line="276" w:lineRule="auto"/>
      </w:pPr>
      <w:r>
        <w:rPr>
          <w:rFonts w:cs="Arial"/>
          <w:color w:val="444444"/>
        </w:rPr>
        <w:t xml:space="preserve">Students may cancel their enrollment and receive a full refund of tuition (less any applicable registration fee, not to exceed $250) through the </w:t>
      </w:r>
      <w:proofErr w:type="gramStart"/>
      <w:r>
        <w:rPr>
          <w:rFonts w:cs="Arial"/>
          <w:color w:val="444444"/>
        </w:rPr>
        <w:t>first class</w:t>
      </w:r>
      <w:proofErr w:type="gramEnd"/>
      <w:r>
        <w:rPr>
          <w:rFonts w:cs="Arial"/>
          <w:color w:val="444444"/>
        </w:rPr>
        <w:t xml:space="preserve"> session or within 7 days of enrollment, whichever is later.</w:t>
      </w:r>
    </w:p>
    <w:p w14:paraId="7B0790B4" w14:textId="77777777" w:rsidR="00D7526A" w:rsidRDefault="00000000">
      <w:pPr>
        <w:pStyle w:val="Heading2"/>
        <w:spacing w:before="220"/>
      </w:pPr>
      <w:r>
        <w:t>Withdrawals &amp; Refunds</w:t>
      </w:r>
    </w:p>
    <w:p w14:paraId="6C474ED6" w14:textId="77777777" w:rsidR="00D7526A" w:rsidRDefault="00000000">
      <w:pPr>
        <w:spacing w:after="120" w:line="276" w:lineRule="auto"/>
      </w:pPr>
      <w:r>
        <w:rPr>
          <w:rFonts w:cs="Arial"/>
          <w:color w:val="444444"/>
        </w:rPr>
        <w:t>After the cancellation period, students may withdraw at any time. Refunds are calculated on a pro-rata basis: the daily tuition rate multiplied by days attended is deducted from the total paid, and the remainder is refunded within 45 days. Books, supplies, and materials are non-refundable after 10 days.</w:t>
      </w:r>
    </w:p>
    <w:p w14:paraId="06A854EB" w14:textId="77777777" w:rsidR="00D7526A" w:rsidRDefault="00000000">
      <w:pPr>
        <w:pStyle w:val="Heading2"/>
        <w:spacing w:before="220"/>
      </w:pPr>
      <w:r>
        <w:t>Student Tuition Recovery Fund (STRF)</w:t>
      </w:r>
    </w:p>
    <w:p w14:paraId="02CE6183" w14:textId="77777777" w:rsidR="00D7526A" w:rsidRDefault="00000000">
      <w:pPr>
        <w:spacing w:after="120" w:line="276" w:lineRule="auto"/>
      </w:pPr>
      <w:r>
        <w:rPr>
          <w:rFonts w:cs="Arial"/>
          <w:color w:val="444444"/>
        </w:rPr>
        <w:t>California residents who prepay tuition may be protected by the STRF. Keep copies of your enrollment agreement and all payment records. Contact BPPE at (888) 370-7589 or www.bppe.ca.gov for details.</w:t>
      </w:r>
    </w:p>
    <w:p w14:paraId="427FA386" w14:textId="77777777" w:rsidR="00D7526A" w:rsidRDefault="00000000">
      <w:r>
        <w:br w:type="page"/>
      </w:r>
    </w:p>
    <w:p w14:paraId="35B129B8" w14:textId="77777777" w:rsidR="00D7526A" w:rsidRDefault="00000000">
      <w:pPr>
        <w:pStyle w:val="Heading1"/>
        <w:pBdr>
          <w:bottom w:val="single" w:sz="6" w:space="4" w:color="1F6EA4"/>
        </w:pBdr>
      </w:pPr>
      <w:r>
        <w:lastRenderedPageBreak/>
        <w:t>Student Services &amp; Support</w:t>
      </w:r>
    </w:p>
    <w:p w14:paraId="689A40BF" w14:textId="77777777" w:rsidR="00D7526A" w:rsidRDefault="00000000">
      <w:pPr>
        <w:pStyle w:val="Heading2"/>
        <w:spacing w:before="220"/>
      </w:pPr>
      <w:r>
        <w:t>Job Placement</w:t>
      </w:r>
    </w:p>
    <w:p w14:paraId="00B2D57A" w14:textId="77777777" w:rsidR="00D7526A" w:rsidRDefault="00000000">
      <w:pPr>
        <w:spacing w:after="120" w:line="276" w:lineRule="auto"/>
      </w:pPr>
      <w:r>
        <w:rPr>
          <w:rFonts w:cs="Arial"/>
          <w:color w:val="444444"/>
        </w:rPr>
        <w:t>Helix Opportunity Institute provides job placement assistance for students with disabilities enrolled in a State Vocational Rehabilitation Program (per the student's Individualized Plan for Employment), as well as for students without disabilities.</w:t>
      </w:r>
    </w:p>
    <w:p w14:paraId="67B466FC" w14:textId="77777777" w:rsidR="00D7526A" w:rsidRDefault="00000000">
      <w:pPr>
        <w:pStyle w:val="Heading2"/>
        <w:spacing w:before="220"/>
      </w:pPr>
      <w:r>
        <w:t>Reasonable Accommodations</w:t>
      </w:r>
    </w:p>
    <w:p w14:paraId="0EDFBE33" w14:textId="77777777" w:rsidR="00D7526A" w:rsidRDefault="00000000">
      <w:pPr>
        <w:spacing w:after="120" w:line="276" w:lineRule="auto"/>
      </w:pPr>
      <w:r>
        <w:rPr>
          <w:rFonts w:cs="Arial"/>
          <w:color w:val="444444"/>
        </w:rPr>
        <w:t>In accordance with Section 504 of the Rehabilitation Act and the ADA, the Institute provides reasonable accommodations to qualified students with disabilities. Submit accommodation requests with supporting documentation at least 6 weeks before the program start date.</w:t>
      </w:r>
    </w:p>
    <w:p w14:paraId="389051A4" w14:textId="77777777" w:rsidR="00D7526A" w:rsidRDefault="00000000">
      <w:pPr>
        <w:pStyle w:val="Heading2"/>
        <w:spacing w:before="220"/>
      </w:pPr>
      <w:r>
        <w:t>Records &amp; Transcripts</w:t>
      </w:r>
    </w:p>
    <w:p w14:paraId="1398D360" w14:textId="77777777" w:rsidR="00D7526A" w:rsidRDefault="00000000">
      <w:pPr>
        <w:pStyle w:val="ListParagraph"/>
        <w:numPr>
          <w:ilvl w:val="0"/>
          <w:numId w:val="2"/>
        </w:numPr>
        <w:spacing w:after="60" w:line="276" w:lineRule="auto"/>
      </w:pPr>
      <w:r>
        <w:rPr>
          <w:color w:val="444444"/>
        </w:rPr>
        <w:t>Academic records are retained for 5 years; transcripts are kept permanently.</w:t>
      </w:r>
    </w:p>
    <w:p w14:paraId="68F1D8B3" w14:textId="77777777" w:rsidR="00D7526A" w:rsidRDefault="00000000">
      <w:pPr>
        <w:pStyle w:val="ListParagraph"/>
        <w:numPr>
          <w:ilvl w:val="0"/>
          <w:numId w:val="2"/>
        </w:numPr>
        <w:spacing w:after="60" w:line="276" w:lineRule="auto"/>
      </w:pPr>
      <w:r>
        <w:rPr>
          <w:color w:val="444444"/>
        </w:rPr>
        <w:t>First official transcript: provided at no charge. Additional copies: $25 for two.</w:t>
      </w:r>
    </w:p>
    <w:p w14:paraId="2113282A" w14:textId="77777777" w:rsidR="00D7526A" w:rsidRDefault="00000000">
      <w:pPr>
        <w:pStyle w:val="ListParagraph"/>
        <w:numPr>
          <w:ilvl w:val="0"/>
          <w:numId w:val="2"/>
        </w:numPr>
        <w:spacing w:after="60" w:line="276" w:lineRule="auto"/>
      </w:pPr>
      <w:r>
        <w:rPr>
          <w:color w:val="444444"/>
        </w:rPr>
        <w:t>Written requests bearing the student's live signature are required for transcript releases.</w:t>
      </w:r>
    </w:p>
    <w:p w14:paraId="76F8A4A0" w14:textId="77777777" w:rsidR="00D7526A" w:rsidRDefault="00000000">
      <w:pPr>
        <w:pStyle w:val="Heading2"/>
        <w:spacing w:before="220"/>
      </w:pPr>
      <w:r>
        <w:t>Complaints</w:t>
      </w:r>
    </w:p>
    <w:p w14:paraId="3BD0985E" w14:textId="77777777" w:rsidR="00D7526A" w:rsidRDefault="00000000">
      <w:pPr>
        <w:spacing w:after="120" w:line="276" w:lineRule="auto"/>
      </w:pPr>
      <w:r>
        <w:rPr>
          <w:rFonts w:cs="Arial"/>
          <w:color w:val="444444"/>
        </w:rPr>
        <w:t>Students may file a complaint with BPPE at (888) 370-7589/(916) 574-8900 or at www.bppe.ca.gov. Internal complaints may be submitted in writing to the campus address below.</w:t>
      </w:r>
    </w:p>
    <w:p w14:paraId="4C722CEF" w14:textId="77777777" w:rsidR="00D7526A" w:rsidRDefault="00000000">
      <w:pPr>
        <w:pStyle w:val="Heading2"/>
        <w:spacing w:before="220"/>
      </w:pPr>
      <w:r>
        <w:t>Privacy</w:t>
      </w:r>
    </w:p>
    <w:p w14:paraId="53329E0C" w14:textId="77777777" w:rsidR="00D7526A" w:rsidRDefault="00000000">
      <w:pPr>
        <w:spacing w:after="120" w:line="276" w:lineRule="auto"/>
      </w:pPr>
      <w:r>
        <w:rPr>
          <w:rFonts w:cs="Arial"/>
          <w:color w:val="444444"/>
        </w:rPr>
        <w:t>Student records are protected under FERPA. No record is released without the student's written consent unless required by law.</w:t>
      </w:r>
    </w:p>
    <w:p w14:paraId="57E6084D" w14:textId="77777777" w:rsidR="00D7526A" w:rsidRDefault="00000000">
      <w:pPr>
        <w:pStyle w:val="Heading2"/>
        <w:spacing w:before="220"/>
      </w:pPr>
      <w:r>
        <w:t>Financial Aid</w:t>
      </w:r>
    </w:p>
    <w:p w14:paraId="2ED958ED" w14:textId="77777777" w:rsidR="00D7526A" w:rsidRDefault="00000000">
      <w:pPr>
        <w:spacing w:after="120" w:line="276" w:lineRule="auto"/>
      </w:pPr>
      <w:r>
        <w:rPr>
          <w:rFonts w:cs="Arial"/>
          <w:color w:val="444444"/>
        </w:rPr>
        <w:t>Helix Opportunity Institute does not participate in State or Federal financial aid programs. Students who obtain private loans are responsible for full repayment plus interest, less any applicable refund.</w:t>
      </w:r>
    </w:p>
    <w:p w14:paraId="6335459A" w14:textId="77777777" w:rsidR="00D7526A" w:rsidRDefault="00000000">
      <w:pPr>
        <w:pStyle w:val="Heading2"/>
        <w:spacing w:before="220"/>
      </w:pPr>
      <w:r>
        <w:t>Housing</w:t>
      </w:r>
    </w:p>
    <w:p w14:paraId="0DBC060E" w14:textId="77777777" w:rsidR="00D7526A" w:rsidRDefault="00000000">
      <w:pPr>
        <w:spacing w:after="120" w:line="276" w:lineRule="auto"/>
      </w:pPr>
      <w:r>
        <w:rPr>
          <w:rFonts w:cs="Arial"/>
          <w:color w:val="444444"/>
        </w:rPr>
        <w:t>The Institute does not provide housing facilities or housing assistance. Several apartments are available near the campus with monthly costs ranging from approximately $3,000–$4,000.</w:t>
      </w:r>
    </w:p>
    <w:p w14:paraId="01410A27" w14:textId="77777777" w:rsidR="00D7526A" w:rsidRDefault="00000000">
      <w:r>
        <w:br w:type="page"/>
      </w:r>
    </w:p>
    <w:p w14:paraId="372F1D16" w14:textId="77777777" w:rsidR="00D7526A" w:rsidRDefault="00000000">
      <w:pPr>
        <w:pStyle w:val="Heading1"/>
        <w:pBdr>
          <w:bottom w:val="single" w:sz="6" w:space="4" w:color="1F6EA4"/>
        </w:pBdr>
      </w:pPr>
      <w:r>
        <w:lastRenderedPageBreak/>
        <w:t>Staff &amp; Faculty</w:t>
      </w:r>
    </w:p>
    <w:p w14:paraId="257BA133" w14:textId="77777777" w:rsidR="00D7526A" w:rsidRDefault="00000000">
      <w:pPr>
        <w:pStyle w:val="Heading2"/>
        <w:spacing w:before="220"/>
      </w:pPr>
      <w:r>
        <w:t>Administrative Staff</w:t>
      </w:r>
    </w:p>
    <w:p w14:paraId="12E3D60E" w14:textId="77777777" w:rsidR="00D7526A" w:rsidRDefault="00000000">
      <w:pPr>
        <w:spacing w:after="80"/>
      </w:pPr>
      <w:r>
        <w:rPr>
          <w:rFonts w:cs="Arial"/>
          <w:b/>
          <w:bCs/>
          <w:color w:val="1F6EA4"/>
        </w:rPr>
        <w:t xml:space="preserve">Chief Operations &amp; Academic Officer:  </w:t>
      </w:r>
      <w:r>
        <w:rPr>
          <w:rFonts w:cs="Arial"/>
          <w:color w:val="444444"/>
        </w:rPr>
        <w:t>David Fazio</w:t>
      </w:r>
    </w:p>
    <w:p w14:paraId="49979739" w14:textId="77777777" w:rsidR="00D7526A" w:rsidRDefault="00000000">
      <w:pPr>
        <w:spacing w:after="80"/>
      </w:pPr>
      <w:r>
        <w:rPr>
          <w:rFonts w:cs="Arial"/>
          <w:b/>
          <w:bCs/>
          <w:color w:val="1F6EA4"/>
        </w:rPr>
        <w:t xml:space="preserve">Administrative Assistant:  </w:t>
      </w:r>
      <w:r>
        <w:rPr>
          <w:rFonts w:cs="Arial"/>
          <w:color w:val="444444"/>
        </w:rPr>
        <w:t>Lucero Macedo</w:t>
      </w:r>
    </w:p>
    <w:p w14:paraId="57915221" w14:textId="77777777" w:rsidR="00D7526A" w:rsidRDefault="00D7526A">
      <w:pPr>
        <w:spacing w:after="80"/>
      </w:pPr>
    </w:p>
    <w:p w14:paraId="7D088F74" w14:textId="77777777" w:rsidR="00D7526A" w:rsidRDefault="00000000">
      <w:pPr>
        <w:pStyle w:val="Heading2"/>
        <w:spacing w:before="220"/>
      </w:pPr>
      <w:r>
        <w:t>Faculty</w:t>
      </w:r>
    </w:p>
    <w:p w14:paraId="4C7462AE" w14:textId="77777777" w:rsidR="00D7526A" w:rsidRDefault="00000000">
      <w:pPr>
        <w:pStyle w:val="ListParagraph"/>
        <w:numPr>
          <w:ilvl w:val="0"/>
          <w:numId w:val="2"/>
        </w:numPr>
        <w:spacing w:after="60" w:line="276" w:lineRule="auto"/>
      </w:pPr>
      <w:r>
        <w:rPr>
          <w:color w:val="444444"/>
        </w:rPr>
        <w:t>Neha Jadhav — Digital Accessibility Specialist, Developer &amp; Inclusion programs</w:t>
      </w:r>
    </w:p>
    <w:p w14:paraId="27FA8BB3" w14:textId="77777777" w:rsidR="00D7526A" w:rsidRDefault="00000000">
      <w:pPr>
        <w:pStyle w:val="ListParagraph"/>
        <w:numPr>
          <w:ilvl w:val="0"/>
          <w:numId w:val="2"/>
        </w:numPr>
        <w:spacing w:after="60" w:line="276" w:lineRule="auto"/>
      </w:pPr>
      <w:r>
        <w:rPr>
          <w:color w:val="444444"/>
        </w:rPr>
        <w:t>David Fazio — Digital Accessibility Specialist, Developer &amp; Inclusion programs</w:t>
      </w:r>
    </w:p>
    <w:p w14:paraId="51CE0760" w14:textId="77777777" w:rsidR="00D7526A" w:rsidRDefault="00000000">
      <w:pPr>
        <w:pStyle w:val="ListParagraph"/>
        <w:numPr>
          <w:ilvl w:val="0"/>
          <w:numId w:val="2"/>
        </w:numPr>
        <w:spacing w:after="60" w:line="276" w:lineRule="auto"/>
      </w:pPr>
      <w:r>
        <w:rPr>
          <w:color w:val="444444"/>
        </w:rPr>
        <w:t>Volker Sorge — Digital Accessibility Specialist, Developer &amp; Inclusion programs</w:t>
      </w:r>
    </w:p>
    <w:p w14:paraId="67FDD44D" w14:textId="77777777" w:rsidR="00D7526A" w:rsidRDefault="00D7526A">
      <w:pPr>
        <w:spacing w:after="80"/>
      </w:pPr>
    </w:p>
    <w:p w14:paraId="0FC6736E" w14:textId="77777777" w:rsidR="00D7526A" w:rsidRDefault="00000000">
      <w:pPr>
        <w:pStyle w:val="Heading1"/>
        <w:pBdr>
          <w:bottom w:val="single" w:sz="6" w:space="4" w:color="1F6EA4"/>
        </w:pBdr>
      </w:pPr>
      <w:r>
        <w:t>Contact &amp; Location</w:t>
      </w:r>
    </w:p>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60"/>
      </w:tblGrid>
      <w:tr w:rsidR="00D7526A" w14:paraId="7B504EA4" w14:textId="77777777">
        <w:tc>
          <w:tcPr>
            <w:tcW w:w="100" w:type="dxa"/>
            <w:shd w:val="solid" w:color="EBF3FA" w:fill="auto"/>
            <w:tcMar>
              <w:top w:w="140" w:type="dxa"/>
              <w:left w:w="200" w:type="dxa"/>
              <w:bottom w:w="140" w:type="dxa"/>
              <w:right w:w="200" w:type="dxa"/>
            </w:tcMar>
          </w:tcPr>
          <w:p w14:paraId="4B46F430" w14:textId="77777777" w:rsidR="00D7526A" w:rsidRDefault="00000000">
            <w:pPr>
              <w:spacing w:after="80"/>
            </w:pPr>
            <w:r>
              <w:rPr>
                <w:rFonts w:cs="Arial"/>
                <w:b/>
                <w:bCs/>
                <w:color w:val="1F6EA4"/>
                <w:sz w:val="24"/>
                <w:szCs w:val="24"/>
              </w:rPr>
              <w:t>Helix Opportunity Institute</w:t>
            </w:r>
          </w:p>
          <w:p w14:paraId="7C12BC3C" w14:textId="77777777" w:rsidR="00D7526A" w:rsidRDefault="00000000">
            <w:pPr>
              <w:spacing w:after="60"/>
            </w:pPr>
            <w:r>
              <w:rPr>
                <w:rFonts w:cs="Arial"/>
                <w:color w:val="444444"/>
              </w:rPr>
              <w:t>833 Market Street, Suite 421–423  •  San Francisco, CA 94103</w:t>
            </w:r>
          </w:p>
          <w:p w14:paraId="75CC5217" w14:textId="77777777" w:rsidR="00D7526A" w:rsidRDefault="00000000">
            <w:pPr>
              <w:spacing w:after="60"/>
            </w:pPr>
            <w:r>
              <w:rPr>
                <w:rFonts w:cs="Arial"/>
                <w:color w:val="444444"/>
              </w:rPr>
              <w:t>Phone: (415) 882-6034</w:t>
            </w:r>
          </w:p>
          <w:p w14:paraId="3A7625C8" w14:textId="77777777" w:rsidR="00D7526A" w:rsidRDefault="00D7526A">
            <w:pPr>
              <w:spacing w:after="60"/>
            </w:pPr>
            <w:hyperlink r:id="rId10" w:history="1">
              <w:proofErr w:type="spellStart"/>
              <w:r>
                <w:rPr>
                  <w:rFonts w:cs="Arial"/>
                  <w:color w:val="1F6EA4"/>
                  <w:u w:val="single"/>
                </w:rPr>
                <w:t>helixopp.institute</w:t>
              </w:r>
              <w:proofErr w:type="spellEnd"/>
            </w:hyperlink>
          </w:p>
          <w:p w14:paraId="61943302" w14:textId="77777777" w:rsidR="00D7526A" w:rsidRDefault="00D7526A">
            <w:pPr>
              <w:spacing w:after="60"/>
            </w:pPr>
            <w:hyperlink r:id="rId11" w:history="1">
              <w:r>
                <w:rPr>
                  <w:rFonts w:cs="Arial"/>
                  <w:color w:val="1F6EA4"/>
                  <w:u w:val="single"/>
                </w:rPr>
                <w:t>dfazio@helixopp.com</w:t>
              </w:r>
            </w:hyperlink>
          </w:p>
          <w:p w14:paraId="0D75CD43" w14:textId="77777777" w:rsidR="00D7526A" w:rsidRDefault="00000000">
            <w:r>
              <w:rPr>
                <w:rFonts w:cs="Arial"/>
                <w:i/>
                <w:iCs/>
                <w:color w:val="444444"/>
                <w:sz w:val="20"/>
                <w:szCs w:val="20"/>
              </w:rPr>
              <w:t>Accessible via public transit: Powell Street BART station</w:t>
            </w:r>
          </w:p>
        </w:tc>
      </w:tr>
    </w:tbl>
    <w:p w14:paraId="52E5D879" w14:textId="77777777" w:rsidR="00D7526A" w:rsidRDefault="00D7526A">
      <w:pPr>
        <w:spacing w:after="80"/>
      </w:pPr>
    </w:p>
    <w:p w14:paraId="56AE6D34" w14:textId="77777777" w:rsidR="00D7526A" w:rsidRDefault="00000000">
      <w:pPr>
        <w:spacing w:after="120" w:line="276" w:lineRule="auto"/>
      </w:pPr>
      <w:r>
        <w:rPr>
          <w:rFonts w:cs="Arial"/>
          <w:color w:val="444444"/>
        </w:rPr>
        <w:t>Records Custodian: David Fazio  •  dfazio@helixopp.com  •  (415) 882-6034</w:t>
      </w:r>
    </w:p>
    <w:sectPr w:rsidR="00D7526A">
      <w:headerReference w:type="default" r:id="rId12"/>
      <w:footerReference w:type="defaul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A7D3" w14:textId="77777777" w:rsidR="00ED488E" w:rsidRDefault="00ED488E">
      <w:r>
        <w:separator/>
      </w:r>
    </w:p>
  </w:endnote>
  <w:endnote w:type="continuationSeparator" w:id="0">
    <w:p w14:paraId="03AAC7D9" w14:textId="77777777" w:rsidR="00ED488E" w:rsidRDefault="00ED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4EF" w14:textId="77777777" w:rsidR="00D7526A" w:rsidRDefault="00D7526A">
    <w:pPr>
      <w:pBdr>
        <w:top w:val="single" w:sz="4" w:space="6" w:color="1F6EA4"/>
      </w:pBdr>
      <w:tabs>
        <w:tab w:val="center" w:pos="4513"/>
        <w:tab w:val="right" w:pos="9026"/>
      </w:tabs>
    </w:pPr>
    <w:hyperlink r:id="rId1" w:history="1">
      <w:proofErr w:type="spellStart"/>
      <w:r>
        <w:rPr>
          <w:color w:val="1F6EA4"/>
          <w:sz w:val="16"/>
          <w:szCs w:val="16"/>
        </w:rPr>
        <w:t>helixopp.institute</w:t>
      </w:r>
      <w:proofErr w:type="spellEnd"/>
    </w:hyperlink>
    <w:r w:rsidR="00000000">
      <w:rPr>
        <w:sz w:val="16"/>
        <w:szCs w:val="16"/>
      </w:rPr>
      <w:tab/>
    </w:r>
    <w:r w:rsidR="00000000">
      <w:rPr>
        <w:b/>
        <w:bCs/>
        <w:color w:val="444444"/>
        <w:sz w:val="16"/>
        <w:szCs w:val="16"/>
      </w:rPr>
      <w:t>Program Catalog  •  2025</w:t>
    </w:r>
    <w:r w:rsidR="00000000">
      <w:rPr>
        <w:color w:val="444444"/>
        <w:sz w:val="16"/>
        <w:szCs w:val="16"/>
      </w:rPr>
      <w:tab/>
      <w:t>(415) 882-6034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1C0" w14:textId="77777777" w:rsidR="00D7526A" w:rsidRDefault="00D7526A">
    <w:pPr>
      <w:pBdr>
        <w:top w:val="single" w:sz="4" w:space="6" w:color="1F6EA4"/>
      </w:pBdr>
      <w:tabs>
        <w:tab w:val="center" w:pos="4513"/>
        <w:tab w:val="right" w:pos="9026"/>
      </w:tabs>
    </w:pPr>
    <w:hyperlink r:id="rId1" w:history="1">
      <w:proofErr w:type="spellStart"/>
      <w:r>
        <w:rPr>
          <w:color w:val="1F6EA4"/>
          <w:sz w:val="16"/>
          <w:szCs w:val="16"/>
        </w:rPr>
        <w:t>helixopp.institute</w:t>
      </w:r>
      <w:proofErr w:type="spellEnd"/>
    </w:hyperlink>
    <w:r w:rsidR="00000000">
      <w:rPr>
        <w:sz w:val="16"/>
        <w:szCs w:val="16"/>
      </w:rPr>
      <w:tab/>
    </w:r>
    <w:r w:rsidR="00000000">
      <w:rPr>
        <w:b/>
        <w:bCs/>
        <w:color w:val="444444"/>
        <w:sz w:val="16"/>
        <w:szCs w:val="16"/>
      </w:rPr>
      <w:t>Program Catalog  •  2025</w:t>
    </w:r>
    <w:r w:rsidR="00000000">
      <w:rPr>
        <w:color w:val="444444"/>
        <w:sz w:val="16"/>
        <w:szCs w:val="16"/>
      </w:rPr>
      <w:tab/>
      <w:t>(415) 882-6034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B821" w14:textId="77777777" w:rsidR="00ED488E" w:rsidRDefault="00ED488E">
      <w:r>
        <w:separator/>
      </w:r>
    </w:p>
  </w:footnote>
  <w:footnote w:type="continuationSeparator" w:id="0">
    <w:p w14:paraId="5F57FC4D" w14:textId="77777777" w:rsidR="00ED488E" w:rsidRDefault="00ED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003C" w14:textId="77777777" w:rsidR="00D7526A" w:rsidRDefault="00000000">
    <w:pPr>
      <w:pBdr>
        <w:bottom w:val="single" w:sz="6" w:space="6" w:color="B81623"/>
      </w:pBdr>
    </w:pPr>
    <w:r>
      <w:rPr>
        <w:noProof/>
      </w:rPr>
      <w:drawing>
        <wp:inline distT="0" distB="0" distL="0" distR="0" wp14:anchorId="06615530" wp14:editId="5F0DCC48">
          <wp:extent cx="2247900" cy="466725"/>
          <wp:effectExtent l="0" t="0" r="0" b="0"/>
          <wp:docPr id="1067543142" name="Helix logo" descr="Helix Opportunity Institute – Unlock the Power of Human Inclusion" title="Helix Opportunity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247900" cy="466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8AA1" w14:textId="77777777" w:rsidR="00D7526A" w:rsidRDefault="00000000">
    <w:pPr>
      <w:pBdr>
        <w:bottom w:val="single" w:sz="6" w:space="6" w:color="B81623"/>
      </w:pBdr>
    </w:pPr>
    <w:r>
      <w:rPr>
        <w:noProof/>
      </w:rPr>
      <w:drawing>
        <wp:inline distT="0" distB="0" distL="0" distR="0" wp14:anchorId="2F62C8B0" wp14:editId="7BB9DC4E">
          <wp:extent cx="2247900" cy="466725"/>
          <wp:effectExtent l="0" t="0" r="0" b="0"/>
          <wp:docPr id="1722587266" name="Helix logo" descr="Helix Opportunity Institute – Unlock the Power of Human Inclusion" title="Helix Opportunity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247900" cy="466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72D21"/>
    <w:multiLevelType w:val="hybridMultilevel"/>
    <w:tmpl w:val="0568B870"/>
    <w:lvl w:ilvl="0" w:tplc="1B04BAC0">
      <w:start w:val="1"/>
      <w:numFmt w:val="bullet"/>
      <w:lvlText w:val="•"/>
      <w:lvlJc w:val="left"/>
      <w:pPr>
        <w:ind w:left="720" w:hanging="360"/>
      </w:pPr>
      <w:rPr>
        <w:rFonts w:ascii="Arial" w:eastAsia="Arial" w:hAnsi="Arial" w:cs="Arial"/>
        <w:color w:val="B81623"/>
      </w:rPr>
    </w:lvl>
    <w:lvl w:ilvl="1" w:tplc="D6D40DD2">
      <w:numFmt w:val="decimal"/>
      <w:lvlText w:val=""/>
      <w:lvlJc w:val="left"/>
    </w:lvl>
    <w:lvl w:ilvl="2" w:tplc="6C00D362">
      <w:numFmt w:val="decimal"/>
      <w:lvlText w:val=""/>
      <w:lvlJc w:val="left"/>
    </w:lvl>
    <w:lvl w:ilvl="3" w:tplc="06765868">
      <w:numFmt w:val="decimal"/>
      <w:lvlText w:val=""/>
      <w:lvlJc w:val="left"/>
    </w:lvl>
    <w:lvl w:ilvl="4" w:tplc="F6CCA852">
      <w:numFmt w:val="decimal"/>
      <w:lvlText w:val=""/>
      <w:lvlJc w:val="left"/>
    </w:lvl>
    <w:lvl w:ilvl="5" w:tplc="F8382DFA">
      <w:numFmt w:val="decimal"/>
      <w:lvlText w:val=""/>
      <w:lvlJc w:val="left"/>
    </w:lvl>
    <w:lvl w:ilvl="6" w:tplc="170EB6CE">
      <w:numFmt w:val="decimal"/>
      <w:lvlText w:val=""/>
      <w:lvlJc w:val="left"/>
    </w:lvl>
    <w:lvl w:ilvl="7" w:tplc="6A443658">
      <w:numFmt w:val="decimal"/>
      <w:lvlText w:val=""/>
      <w:lvlJc w:val="left"/>
    </w:lvl>
    <w:lvl w:ilvl="8" w:tplc="339C63F4">
      <w:numFmt w:val="decimal"/>
      <w:lvlText w:val=""/>
      <w:lvlJc w:val="left"/>
    </w:lvl>
  </w:abstractNum>
  <w:abstractNum w:abstractNumId="1" w15:restartNumberingAfterBreak="0">
    <w:nsid w:val="72254C44"/>
    <w:multiLevelType w:val="hybridMultilevel"/>
    <w:tmpl w:val="3E8288AE"/>
    <w:lvl w:ilvl="0" w:tplc="0508788C">
      <w:start w:val="1"/>
      <w:numFmt w:val="bullet"/>
      <w:lvlText w:val="●"/>
      <w:lvlJc w:val="left"/>
      <w:pPr>
        <w:ind w:left="720" w:hanging="360"/>
      </w:pPr>
    </w:lvl>
    <w:lvl w:ilvl="1" w:tplc="377052C8">
      <w:start w:val="1"/>
      <w:numFmt w:val="bullet"/>
      <w:lvlText w:val="○"/>
      <w:lvlJc w:val="left"/>
      <w:pPr>
        <w:ind w:left="1440" w:hanging="360"/>
      </w:pPr>
    </w:lvl>
    <w:lvl w:ilvl="2" w:tplc="510EFA9E">
      <w:start w:val="1"/>
      <w:numFmt w:val="bullet"/>
      <w:lvlText w:val="■"/>
      <w:lvlJc w:val="left"/>
      <w:pPr>
        <w:ind w:left="2160" w:hanging="360"/>
      </w:pPr>
    </w:lvl>
    <w:lvl w:ilvl="3" w:tplc="32E046EE">
      <w:start w:val="1"/>
      <w:numFmt w:val="bullet"/>
      <w:lvlText w:val="●"/>
      <w:lvlJc w:val="left"/>
      <w:pPr>
        <w:ind w:left="2880" w:hanging="360"/>
      </w:pPr>
    </w:lvl>
    <w:lvl w:ilvl="4" w:tplc="6504B406">
      <w:start w:val="1"/>
      <w:numFmt w:val="bullet"/>
      <w:lvlText w:val="○"/>
      <w:lvlJc w:val="left"/>
      <w:pPr>
        <w:ind w:left="3600" w:hanging="360"/>
      </w:pPr>
    </w:lvl>
    <w:lvl w:ilvl="5" w:tplc="D25222E4">
      <w:start w:val="1"/>
      <w:numFmt w:val="bullet"/>
      <w:lvlText w:val="■"/>
      <w:lvlJc w:val="left"/>
      <w:pPr>
        <w:ind w:left="4320" w:hanging="360"/>
      </w:pPr>
    </w:lvl>
    <w:lvl w:ilvl="6" w:tplc="F8FA45AE">
      <w:start w:val="1"/>
      <w:numFmt w:val="bullet"/>
      <w:lvlText w:val="●"/>
      <w:lvlJc w:val="left"/>
      <w:pPr>
        <w:ind w:left="5040" w:hanging="360"/>
      </w:pPr>
    </w:lvl>
    <w:lvl w:ilvl="7" w:tplc="7FA20AF4">
      <w:start w:val="1"/>
      <w:numFmt w:val="bullet"/>
      <w:lvlText w:val="●"/>
      <w:lvlJc w:val="left"/>
      <w:pPr>
        <w:ind w:left="5760" w:hanging="360"/>
      </w:pPr>
    </w:lvl>
    <w:lvl w:ilvl="8" w:tplc="859AC996">
      <w:start w:val="1"/>
      <w:numFmt w:val="bullet"/>
      <w:lvlText w:val="●"/>
      <w:lvlJc w:val="left"/>
      <w:pPr>
        <w:ind w:left="6480" w:hanging="360"/>
      </w:pPr>
    </w:lvl>
  </w:abstractNum>
  <w:num w:numId="1" w16cid:durableId="1931312192">
    <w:abstractNumId w:val="1"/>
    <w:lvlOverride w:ilvl="0">
      <w:startOverride w:val="1"/>
    </w:lvlOverride>
  </w:num>
  <w:num w:numId="2" w16cid:durableId="252056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6A"/>
    <w:rsid w:val="00615CAE"/>
    <w:rsid w:val="008B5F5E"/>
    <w:rsid w:val="00B86B37"/>
    <w:rsid w:val="00CF6A22"/>
    <w:rsid w:val="00D7526A"/>
    <w:rsid w:val="00ED488E"/>
    <w:rsid w:val="00F115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1ADB8B2E"/>
  <w15:docId w15:val="{AEF282CB-3EA5-BA41-BEB4-ED686EE8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uiPriority w:val="9"/>
    <w:qFormat/>
    <w:pPr>
      <w:spacing w:before="280" w:after="100"/>
      <w:outlineLvl w:val="0"/>
    </w:pPr>
    <w:rPr>
      <w:b/>
      <w:bCs/>
      <w:color w:val="1F6EA4"/>
      <w:sz w:val="30"/>
      <w:szCs w:val="30"/>
    </w:rPr>
  </w:style>
  <w:style w:type="paragraph" w:styleId="Heading2">
    <w:name w:val="heading 2"/>
    <w:uiPriority w:val="9"/>
    <w:unhideWhenUsed/>
    <w:qFormat/>
    <w:pPr>
      <w:spacing w:before="200" w:after="80"/>
      <w:outlineLvl w:val="1"/>
    </w:pPr>
    <w:rPr>
      <w:b/>
      <w:bCs/>
      <w:color w:val="B81623"/>
      <w:sz w:val="24"/>
      <w:szCs w:val="24"/>
    </w:rPr>
  </w:style>
  <w:style w:type="paragraph" w:styleId="Heading3">
    <w:name w:val="heading 3"/>
    <w:uiPriority w:val="9"/>
    <w:semiHidden/>
    <w:unhideWhenUsed/>
    <w:qFormat/>
    <w:pPr>
      <w:spacing w:before="160" w:after="60"/>
      <w:outlineLvl w:val="2"/>
    </w:pPr>
    <w:rPr>
      <w:b/>
      <w:bCs/>
      <w:color w:val="1F6EA4"/>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azio@helixop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elixopp.institut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elixopp.institu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helixopp.instit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1382</Words>
  <Characters>8548</Characters>
  <Application>Microsoft Office Word</Application>
  <DocSecurity>0</DocSecurity>
  <Lines>279</Lines>
  <Paragraphs>202</Paragraphs>
  <ScaleCrop>false</ScaleCrop>
  <HeadingPairs>
    <vt:vector size="2" baseType="variant">
      <vt:variant>
        <vt:lpstr>Title</vt:lpstr>
      </vt:variant>
      <vt:variant>
        <vt:i4>1</vt:i4>
      </vt:variant>
    </vt:vector>
  </HeadingPairs>
  <TitlesOfParts>
    <vt:vector size="1" baseType="lpstr">
      <vt:lpstr>Helix Opportunity Institute — Program Catalog 2025</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Helix Opportunity Institute — Program Catalog 2025</dc:title>
  <dc:creator>Helix Opportunity Institute</dc:creator>
  <dc:description>Official program catalog for Helix Opportunity Institute</dc:description>
  <cp:lastModifiedBy>Neha Manik Jadhav</cp:lastModifiedBy>
  <cp:revision>3</cp:revision>
  <dcterms:created xsi:type="dcterms:W3CDTF">2026-07-01T12:37:00Z</dcterms:created>
  <dcterms:modified xsi:type="dcterms:W3CDTF">2026-07-01T16:54:00Z</dcterms:modified>
</cp:coreProperties>
</file>